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1676" w14:textId="77777777" w:rsidR="001D3CEC" w:rsidRPr="00B54015" w:rsidRDefault="001D3CEC" w:rsidP="00B54015">
      <w:pPr>
        <w:spacing w:line="320" w:lineRule="exact"/>
        <w:jc w:val="both"/>
        <w:rPr>
          <w:rFonts w:ascii="Times New Roman" w:hAnsi="Times New Roman"/>
          <w:b/>
          <w:sz w:val="22"/>
          <w:szCs w:val="22"/>
          <w:lang w:eastAsia="ja-JP"/>
        </w:rPr>
      </w:pPr>
      <w:bookmarkStart w:id="0" w:name="_GoBack"/>
      <w:bookmarkEnd w:id="0"/>
      <w:r w:rsidRPr="00B54015">
        <w:rPr>
          <w:rFonts w:ascii="Times New Roman" w:hAnsi="Times New Roman"/>
          <w:b/>
          <w:sz w:val="22"/>
          <w:szCs w:val="22"/>
        </w:rPr>
        <w:t>L</w:t>
      </w:r>
      <w:r w:rsidR="009048C9" w:rsidRPr="00B54015">
        <w:rPr>
          <w:rFonts w:ascii="Times New Roman" w:hAnsi="Times New Roman"/>
          <w:b/>
          <w:sz w:val="22"/>
          <w:szCs w:val="22"/>
          <w:lang w:eastAsia="ja-JP"/>
        </w:rPr>
        <w:t>a gravure sur bois en couleurs en France (1889-1939) : la leçon japonaise</w:t>
      </w:r>
    </w:p>
    <w:p w14:paraId="385A5541" w14:textId="77777777" w:rsidR="009048C9" w:rsidRPr="00B54015" w:rsidRDefault="009048C9" w:rsidP="00B54015">
      <w:pPr>
        <w:spacing w:line="320" w:lineRule="exact"/>
        <w:jc w:val="both"/>
        <w:rPr>
          <w:rFonts w:ascii="Times New Roman" w:hAnsi="Times New Roman"/>
          <w:b/>
          <w:sz w:val="22"/>
          <w:szCs w:val="22"/>
          <w:lang w:eastAsia="ja-JP"/>
        </w:rPr>
      </w:pPr>
      <w:r w:rsidRPr="00B54015">
        <w:rPr>
          <w:rFonts w:ascii="Times New Roman" w:hAnsi="Times New Roman"/>
          <w:b/>
          <w:sz w:val="22"/>
          <w:szCs w:val="22"/>
          <w:lang w:eastAsia="ja-JP"/>
        </w:rPr>
        <w:t>LE STUM Philippe</w:t>
      </w:r>
      <w:r w:rsidR="00473C1F" w:rsidRPr="00B54015">
        <w:rPr>
          <w:rFonts w:ascii="Times New Roman" w:hAnsi="Times New Roman"/>
          <w:b/>
          <w:sz w:val="22"/>
          <w:szCs w:val="22"/>
          <w:lang w:eastAsia="ja-JP"/>
        </w:rPr>
        <w:t xml:space="preserve"> (</w:t>
      </w:r>
      <w:r w:rsidR="00473C1F" w:rsidRPr="00B54015">
        <w:rPr>
          <w:rFonts w:ascii="Times New Roman" w:hAnsi="Times New Roman"/>
          <w:sz w:val="22"/>
          <w:szCs w:val="22"/>
        </w:rPr>
        <w:t>Musée départemental breton, France</w:t>
      </w:r>
      <w:r w:rsidR="00473C1F" w:rsidRPr="00B54015">
        <w:rPr>
          <w:rFonts w:ascii="Times New Roman" w:hAnsi="Times New Roman"/>
          <w:b/>
          <w:sz w:val="22"/>
          <w:szCs w:val="22"/>
          <w:lang w:eastAsia="ja-JP"/>
        </w:rPr>
        <w:t>)</w:t>
      </w:r>
    </w:p>
    <w:p w14:paraId="7C8574C8" w14:textId="77777777" w:rsidR="009048C9" w:rsidRPr="00B54015" w:rsidRDefault="009048C9" w:rsidP="00B54015">
      <w:pPr>
        <w:spacing w:line="320" w:lineRule="exact"/>
        <w:jc w:val="both"/>
        <w:rPr>
          <w:rFonts w:ascii="Times New Roman" w:hAnsi="Times New Roman"/>
          <w:sz w:val="22"/>
          <w:szCs w:val="22"/>
        </w:rPr>
      </w:pPr>
    </w:p>
    <w:p w14:paraId="26DE0927"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L’utilisation des procédés japonais de production d’estampes par un petit nombre de graveurs français du dernier quart du XIXe est un épisode peu connu de l’histoire des arts français. Il s’inscrivit dans le double mouvement de renouveau de la gravure sur bois originale et d’avènement de la couleur dans la gravure savante occidentale. Chez ces graveurs, le japonisme ne se manifesta pas seulement, comme chez les peintres, par l’emprunt de thèmes, de principes de composition ou d’une manière nouvelle de répartir les couleurs, mais par l’expérimentation de techniques xylographiques et de procédés d’encrage et d’impression : gravure d’un bloc de bois par couleur, utilisation des pigments de l’aquarelle, tirage « à l’eau » et au </w:t>
      </w:r>
      <w:r w:rsidRPr="00B54015">
        <w:rPr>
          <w:rFonts w:ascii="Times New Roman" w:hAnsi="Times New Roman"/>
          <w:i/>
          <w:sz w:val="22"/>
          <w:szCs w:val="22"/>
        </w:rPr>
        <w:t>baren</w:t>
      </w:r>
      <w:r w:rsidRPr="00B54015">
        <w:rPr>
          <w:rFonts w:ascii="Times New Roman" w:hAnsi="Times New Roman"/>
          <w:sz w:val="22"/>
          <w:szCs w:val="22"/>
        </w:rPr>
        <w:t xml:space="preserve">. </w:t>
      </w:r>
    </w:p>
    <w:p w14:paraId="2F11F79C" w14:textId="57EDB3A0"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Les débuts de ce mouvement peuvent être datés avec précision par les premiers bois en couleurs d</w:t>
      </w:r>
      <w:r w:rsidR="002A1893">
        <w:rPr>
          <w:rFonts w:ascii="Times New Roman" w:hAnsi="Times New Roman"/>
          <w:sz w:val="22"/>
          <w:szCs w:val="22"/>
        </w:rPr>
        <w:t>’</w:t>
      </w:r>
      <w:r w:rsidRPr="00B54015">
        <w:rPr>
          <w:rFonts w:ascii="Times New Roman" w:hAnsi="Times New Roman"/>
          <w:sz w:val="22"/>
          <w:szCs w:val="22"/>
        </w:rPr>
        <w:t xml:space="preserve">Henri Rivière et </w:t>
      </w:r>
      <w:r w:rsidR="002A1893">
        <w:rPr>
          <w:rFonts w:ascii="Times New Roman" w:hAnsi="Times New Roman"/>
          <w:sz w:val="22"/>
          <w:szCs w:val="22"/>
        </w:rPr>
        <w:t>d’</w:t>
      </w:r>
      <w:r w:rsidRPr="00B54015">
        <w:rPr>
          <w:rFonts w:ascii="Times New Roman" w:hAnsi="Times New Roman"/>
          <w:sz w:val="22"/>
          <w:szCs w:val="22"/>
        </w:rPr>
        <w:t xml:space="preserve">Auguste Lepère à la fin des années 1880. Dans la décennie suivante suivirent les célèbres séries bretonnes de Rivière, ainsi que les productions d’Amédée Joyau, de Tony et Jacques Beltrand ou d’Adolphe Beaufrère. Le japonisme xylographique français se prolongea ensuite dans l’œuvre de Prosper-Alphonse Isaac puis jusque dans les années 1920 et 1930 dans celles </w:t>
      </w:r>
      <w:r w:rsidR="002A1893">
        <w:rPr>
          <w:rFonts w:ascii="Times New Roman" w:hAnsi="Times New Roman"/>
          <w:sz w:val="22"/>
          <w:szCs w:val="22"/>
        </w:rPr>
        <w:t xml:space="preserve">de </w:t>
      </w:r>
      <w:r w:rsidRPr="00B54015">
        <w:rPr>
          <w:rFonts w:ascii="Times New Roman" w:hAnsi="Times New Roman"/>
          <w:sz w:val="22"/>
          <w:szCs w:val="22"/>
        </w:rPr>
        <w:t xml:space="preserve">Jules </w:t>
      </w:r>
      <w:proofErr w:type="spellStart"/>
      <w:r w:rsidRPr="00B54015">
        <w:rPr>
          <w:rFonts w:ascii="Times New Roman" w:hAnsi="Times New Roman"/>
          <w:sz w:val="22"/>
          <w:szCs w:val="22"/>
        </w:rPr>
        <w:t>Chadel</w:t>
      </w:r>
      <w:proofErr w:type="spellEnd"/>
      <w:r w:rsidRPr="00B54015">
        <w:rPr>
          <w:rFonts w:ascii="Times New Roman" w:hAnsi="Times New Roman"/>
          <w:sz w:val="22"/>
          <w:szCs w:val="22"/>
        </w:rPr>
        <w:t xml:space="preserve"> ou de G</w:t>
      </w:r>
      <w:r w:rsidR="002A1893">
        <w:rPr>
          <w:rFonts w:ascii="Times New Roman" w:hAnsi="Times New Roman"/>
          <w:sz w:val="22"/>
          <w:szCs w:val="22"/>
        </w:rPr>
        <w:t>é</w:t>
      </w:r>
      <w:r w:rsidRPr="00B54015">
        <w:rPr>
          <w:rFonts w:ascii="Times New Roman" w:hAnsi="Times New Roman"/>
          <w:sz w:val="22"/>
          <w:szCs w:val="22"/>
        </w:rPr>
        <w:t xml:space="preserve">o-Fourrier. </w:t>
      </w:r>
    </w:p>
    <w:p w14:paraId="5F54D85D" w14:textId="5510ED3F"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L’avènement de la gravure sur bois en couleurs dans l’estampe annonça celui de l’illustration polychrome gravée sur bois dans le livre français du </w:t>
      </w:r>
      <w:r w:rsidR="002A1893">
        <w:rPr>
          <w:rFonts w:ascii="Times New Roman" w:hAnsi="Times New Roman"/>
          <w:sz w:val="22"/>
          <w:szCs w:val="22"/>
        </w:rPr>
        <w:t>premier</w:t>
      </w:r>
      <w:r w:rsidRPr="00B54015">
        <w:rPr>
          <w:rFonts w:ascii="Times New Roman" w:hAnsi="Times New Roman"/>
          <w:sz w:val="22"/>
          <w:szCs w:val="22"/>
        </w:rPr>
        <w:t xml:space="preserve"> quart du XXe siècle. Cette vogue initiée par Lepère fut entretenue ensuite par Jacques Beltrand – graveur des livres illustrés par Maurice Denis – ainsi que par Jules Chadel, Géo-Fourrier, Daragnès ou plus tard Pierre-Eugène Clairin, donnant naissance à certaines des plus belles productions de l’édition bibliophilique française.</w:t>
      </w:r>
    </w:p>
    <w:p w14:paraId="54FD4692" w14:textId="77777777" w:rsidR="001D3CEC" w:rsidRPr="00B54015" w:rsidRDefault="001D3CEC" w:rsidP="00B54015">
      <w:pPr>
        <w:spacing w:line="320" w:lineRule="exact"/>
        <w:ind w:firstLine="567"/>
        <w:jc w:val="both"/>
        <w:rPr>
          <w:rFonts w:ascii="Times New Roman" w:hAnsi="Times New Roman"/>
          <w:sz w:val="22"/>
          <w:szCs w:val="22"/>
        </w:rPr>
      </w:pPr>
    </w:p>
    <w:p w14:paraId="13892044" w14:textId="77777777" w:rsidR="001D3CEC" w:rsidRPr="00B54015" w:rsidRDefault="009048C9"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0EA78049" w14:textId="056A67DA" w:rsidR="001D3CEC" w:rsidRPr="00B54015" w:rsidRDefault="001D3CEC" w:rsidP="00B54015">
      <w:pPr>
        <w:spacing w:line="320" w:lineRule="exact"/>
        <w:jc w:val="both"/>
        <w:rPr>
          <w:rFonts w:ascii="Times New Roman" w:hAnsi="Times New Roman"/>
          <w:sz w:val="22"/>
          <w:szCs w:val="22"/>
          <w:lang w:eastAsia="ja-JP"/>
        </w:rPr>
      </w:pPr>
      <w:r w:rsidRPr="00B54015">
        <w:rPr>
          <w:rFonts w:ascii="Times New Roman" w:hAnsi="Times New Roman"/>
          <w:sz w:val="22"/>
          <w:szCs w:val="22"/>
        </w:rPr>
        <w:t xml:space="preserve">Conservateur en chef du patrimoine, directeur du Musée départemental breton, Philippe Le Stum étudie la présence de la thématique bretonne dans l’estampe des XIXe et XXe siècles dans le cadre d’une thèse de </w:t>
      </w:r>
      <w:r w:rsidR="002A1893">
        <w:rPr>
          <w:rFonts w:ascii="Times New Roman" w:hAnsi="Times New Roman"/>
          <w:sz w:val="22"/>
          <w:szCs w:val="22"/>
        </w:rPr>
        <w:t>d</w:t>
      </w:r>
      <w:r w:rsidRPr="00B54015">
        <w:rPr>
          <w:rFonts w:ascii="Times New Roman" w:hAnsi="Times New Roman"/>
          <w:sz w:val="22"/>
          <w:szCs w:val="22"/>
        </w:rPr>
        <w:t xml:space="preserve">octorat (Paris-IV Sorbonne). Il a publié sur ce sujet divers article et un ouvrage, </w:t>
      </w:r>
      <w:r w:rsidRPr="00B54015">
        <w:rPr>
          <w:rFonts w:ascii="Times New Roman" w:hAnsi="Times New Roman"/>
          <w:i/>
          <w:sz w:val="22"/>
          <w:szCs w:val="22"/>
        </w:rPr>
        <w:t>Impressions bretonnes, la gravure sur bois en Bretagne (1850-1950)</w:t>
      </w:r>
      <w:r w:rsidRPr="00B54015">
        <w:rPr>
          <w:rFonts w:ascii="Times New Roman" w:hAnsi="Times New Roman"/>
          <w:sz w:val="22"/>
          <w:szCs w:val="22"/>
        </w:rPr>
        <w:t xml:space="preserve"> (Quimper, Palantines, 2005). Ses autres publications sont consacrées aux arts graphiques et aux arts appliqués en Bretagne, et plus spécialement à la présence des artistes européens dans cette région entre 1880 et 1950.</w:t>
      </w:r>
    </w:p>
    <w:p w14:paraId="4AF1311B" w14:textId="77777777" w:rsidR="001D3CEC" w:rsidRPr="00B54015" w:rsidRDefault="001D3CEC" w:rsidP="00B54015">
      <w:pPr>
        <w:spacing w:line="320" w:lineRule="exact"/>
        <w:jc w:val="both"/>
        <w:rPr>
          <w:rFonts w:ascii="Times New Roman" w:hAnsi="Times New Roman"/>
          <w:sz w:val="22"/>
          <w:szCs w:val="22"/>
          <w:lang w:eastAsia="ja-JP"/>
        </w:rPr>
      </w:pPr>
      <w:r w:rsidRPr="00B54015">
        <w:rPr>
          <w:rFonts w:ascii="Times New Roman" w:hAnsi="Times New Roman"/>
          <w:sz w:val="22"/>
          <w:szCs w:val="22"/>
          <w:lang w:eastAsia="ja-JP"/>
        </w:rPr>
        <w:br w:type="page"/>
      </w:r>
    </w:p>
    <w:p w14:paraId="21F5C8AE" w14:textId="5E1EC121" w:rsidR="00B57F15" w:rsidRPr="00B54015" w:rsidRDefault="00B57F15" w:rsidP="00B54015">
      <w:pPr>
        <w:spacing w:line="320" w:lineRule="exact"/>
        <w:jc w:val="both"/>
        <w:rPr>
          <w:rFonts w:ascii="Times New Roman" w:hAnsi="Times New Roman"/>
          <w:b/>
          <w:sz w:val="22"/>
          <w:szCs w:val="22"/>
        </w:rPr>
      </w:pPr>
      <w:r w:rsidRPr="00B54015">
        <w:rPr>
          <w:rFonts w:ascii="Times New Roman" w:hAnsi="Times New Roman"/>
          <w:b/>
          <w:sz w:val="22"/>
          <w:szCs w:val="22"/>
        </w:rPr>
        <w:lastRenderedPageBreak/>
        <w:t xml:space="preserve">L’édition au Japon au </w:t>
      </w:r>
      <w:r w:rsidR="002A1893">
        <w:rPr>
          <w:rFonts w:ascii="Times New Roman" w:hAnsi="Times New Roman"/>
          <w:b/>
          <w:sz w:val="22"/>
          <w:szCs w:val="22"/>
        </w:rPr>
        <w:t>XIX</w:t>
      </w:r>
      <w:r w:rsidR="002A1893" w:rsidRPr="00B54015">
        <w:rPr>
          <w:rFonts w:ascii="Times New Roman" w:hAnsi="Times New Roman"/>
          <w:b/>
          <w:sz w:val="22"/>
          <w:szCs w:val="22"/>
        </w:rPr>
        <w:t xml:space="preserve">e </w:t>
      </w:r>
      <w:r w:rsidRPr="00B54015">
        <w:rPr>
          <w:rFonts w:ascii="Times New Roman" w:hAnsi="Times New Roman"/>
          <w:b/>
          <w:sz w:val="22"/>
          <w:szCs w:val="22"/>
        </w:rPr>
        <w:t>siècle</w:t>
      </w:r>
    </w:p>
    <w:p w14:paraId="6D2075F4" w14:textId="77777777" w:rsidR="00B57F15" w:rsidRPr="00B54015" w:rsidRDefault="00B57F15" w:rsidP="00B54015">
      <w:pPr>
        <w:spacing w:line="320" w:lineRule="exact"/>
        <w:jc w:val="both"/>
        <w:rPr>
          <w:rFonts w:ascii="Times New Roman" w:hAnsi="Times New Roman"/>
          <w:b/>
          <w:sz w:val="22"/>
          <w:szCs w:val="22"/>
          <w:lang w:eastAsia="ja-JP"/>
        </w:rPr>
      </w:pPr>
      <w:r w:rsidRPr="00B54015">
        <w:rPr>
          <w:rFonts w:ascii="Times New Roman" w:hAnsi="Times New Roman"/>
          <w:b/>
          <w:sz w:val="22"/>
          <w:szCs w:val="22"/>
        </w:rPr>
        <w:t xml:space="preserve">TAKAGI </w:t>
      </w:r>
      <w:r w:rsidR="00B54015" w:rsidRPr="00B54015">
        <w:rPr>
          <w:rFonts w:ascii="Times New Roman" w:hAnsi="Times New Roman"/>
          <w:b/>
          <w:sz w:val="22"/>
          <w:szCs w:val="22"/>
        </w:rPr>
        <w:t>Gen</w:t>
      </w:r>
      <w:r w:rsidR="00B54015" w:rsidRPr="00B54015">
        <w:rPr>
          <w:rFonts w:ascii="Times New Roman" w:hAnsi="Times New Roman"/>
          <w:b/>
          <w:sz w:val="22"/>
          <w:szCs w:val="22"/>
          <w:lang w:eastAsia="ja-JP"/>
        </w:rPr>
        <w:t xml:space="preserve"> (</w:t>
      </w:r>
      <w:r w:rsidR="00B54015" w:rsidRPr="00B54015">
        <w:rPr>
          <w:rFonts w:ascii="Times New Roman" w:hAnsi="Times New Roman"/>
          <w:sz w:val="22"/>
          <w:szCs w:val="22"/>
        </w:rPr>
        <w:t>l’université nationale de Chiba</w:t>
      </w:r>
      <w:r w:rsidR="00B54015" w:rsidRPr="00B54015">
        <w:rPr>
          <w:rFonts w:ascii="Times New Roman" w:hAnsi="Times New Roman"/>
          <w:b/>
          <w:sz w:val="22"/>
          <w:szCs w:val="22"/>
          <w:lang w:eastAsia="ja-JP"/>
        </w:rPr>
        <w:t>)</w:t>
      </w:r>
    </w:p>
    <w:p w14:paraId="1159FB11" w14:textId="77777777" w:rsidR="00B57F15" w:rsidRPr="00B54015" w:rsidRDefault="00B57F15" w:rsidP="00B54015">
      <w:pPr>
        <w:spacing w:line="320" w:lineRule="exact"/>
        <w:jc w:val="both"/>
        <w:rPr>
          <w:rFonts w:ascii="Times New Roman" w:hAnsi="Times New Roman"/>
          <w:sz w:val="22"/>
          <w:szCs w:val="22"/>
        </w:rPr>
      </w:pPr>
    </w:p>
    <w:p w14:paraId="44018488" w14:textId="2EDDB963" w:rsidR="00B57F15" w:rsidRPr="00B54015" w:rsidRDefault="00B57F15" w:rsidP="00B54015">
      <w:pPr>
        <w:spacing w:before="240" w:line="320" w:lineRule="exact"/>
        <w:ind w:firstLineChars="100" w:firstLine="220"/>
        <w:jc w:val="both"/>
        <w:rPr>
          <w:rFonts w:ascii="Times New Roman" w:hAnsi="Times New Roman"/>
          <w:sz w:val="22"/>
          <w:szCs w:val="22"/>
          <w:highlight w:val="yellow"/>
        </w:rPr>
      </w:pPr>
      <w:r w:rsidRPr="00B54015">
        <w:rPr>
          <w:rFonts w:ascii="Times New Roman" w:hAnsi="Times New Roman"/>
          <w:sz w:val="22"/>
          <w:szCs w:val="22"/>
        </w:rPr>
        <w:t xml:space="preserve">Le développement de la technique d’impression tabellaire au Japon à l’époque d’Edo contribua beaucoup à la diffusion du « livre illustré ». Tandis qu’au </w:t>
      </w:r>
      <w:r w:rsidR="002A1893">
        <w:rPr>
          <w:rFonts w:ascii="Times New Roman" w:hAnsi="Times New Roman"/>
          <w:sz w:val="22"/>
          <w:szCs w:val="22"/>
        </w:rPr>
        <w:t>XVIII</w:t>
      </w:r>
      <w:r w:rsidRPr="00B54015">
        <w:rPr>
          <w:rFonts w:ascii="Times New Roman" w:hAnsi="Times New Roman"/>
          <w:sz w:val="22"/>
          <w:szCs w:val="22"/>
          <w:vertAlign w:val="superscript"/>
        </w:rPr>
        <w:t>e</w:t>
      </w:r>
      <w:r w:rsidRPr="00B54015">
        <w:rPr>
          <w:rFonts w:ascii="Times New Roman" w:hAnsi="Times New Roman"/>
          <w:sz w:val="22"/>
          <w:szCs w:val="22"/>
        </w:rPr>
        <w:t xml:space="preserve"> siècle les premiers livres illustrés sont marqués par la sobriété et que l’élégance des illustrations se manifeste par des dessins simplement imprimés en noir, la présentation de ces mêmes ouvrages se caractérise ensuite par un plus grand raffinement décoratif. Ce phénomène s’explique par le développement du monde de l’édition, doublé par celui du capitalisme : en effet, le livre devint alors un « produit commercial ». Un autre fait intéressant mérite notre attention : les motifs des frontispices et les illustrations sont dessinés par l’auteur avant d’être mis au propre par un peintre d’</w:t>
      </w:r>
      <w:r w:rsidRPr="00B54015">
        <w:rPr>
          <w:rFonts w:ascii="Times New Roman" w:hAnsi="Times New Roman"/>
          <w:i/>
          <w:sz w:val="22"/>
          <w:szCs w:val="22"/>
        </w:rPr>
        <w:t>ukiyo-e</w:t>
      </w:r>
      <w:r w:rsidRPr="00B54015">
        <w:rPr>
          <w:rFonts w:ascii="Times New Roman" w:hAnsi="Times New Roman"/>
          <w:sz w:val="22"/>
          <w:szCs w:val="22"/>
        </w:rPr>
        <w:t>. Plusieurs cas montrent que l’auteur a pu prendre part également à l’élaboration de la présentation de ses ouvrages. Par exemple, Kyokutei Bakin contribua grandement à l’élaboration tant du contenu que de la présentation des</w:t>
      </w:r>
      <w:r w:rsidRPr="00B54015">
        <w:rPr>
          <w:rFonts w:ascii="Times New Roman" w:hAnsi="Times New Roman"/>
          <w:i/>
          <w:sz w:val="22"/>
          <w:szCs w:val="22"/>
        </w:rPr>
        <w:t xml:space="preserve"> yomihon</w:t>
      </w:r>
      <w:r w:rsidRPr="00B54015">
        <w:rPr>
          <w:rFonts w:ascii="Times New Roman" w:hAnsi="Times New Roman"/>
          <w:sz w:val="22"/>
          <w:szCs w:val="22"/>
        </w:rPr>
        <w:t xml:space="preserve"> de l’époque d’Edo, comme pour son très populaire </w:t>
      </w:r>
      <w:r w:rsidRPr="00B54015">
        <w:rPr>
          <w:rFonts w:ascii="Times New Roman" w:hAnsi="Times New Roman"/>
          <w:i/>
          <w:sz w:val="22"/>
          <w:szCs w:val="22"/>
        </w:rPr>
        <w:t>Nansô Satomi hakkenden</w:t>
      </w:r>
      <w:r w:rsidRPr="00B54015">
        <w:rPr>
          <w:rFonts w:ascii="Times New Roman" w:hAnsi="Times New Roman"/>
          <w:sz w:val="22"/>
          <w:szCs w:val="22"/>
        </w:rPr>
        <w:t xml:space="preserve"> (</w:t>
      </w:r>
      <w:r w:rsidRPr="00B54015">
        <w:rPr>
          <w:rFonts w:ascii="Times New Roman" w:hAnsi="Times New Roman"/>
          <w:i/>
          <w:sz w:val="22"/>
          <w:szCs w:val="22"/>
        </w:rPr>
        <w:t>La Légende des huit chiens de Satomi</w:t>
      </w:r>
      <w:r w:rsidRPr="00B54015">
        <w:rPr>
          <w:rFonts w:ascii="Times New Roman" w:hAnsi="Times New Roman"/>
          <w:sz w:val="22"/>
          <w:szCs w:val="22"/>
        </w:rPr>
        <w:t xml:space="preserve">). En effet, le frontispice et les illustrations ne sont pas de simples « décorations » accompagnant le texte du roman, mais ils reflètent aussi l’intention de l’auteur. Ainsi, à l’époque d’Edo, les frontispices aussi bien que les illustrations faisaient partie du texte et doivent être « lus » en tant que tels. </w:t>
      </w:r>
    </w:p>
    <w:p w14:paraId="09462895" w14:textId="77777777" w:rsidR="00B57F15" w:rsidRPr="00B54015" w:rsidRDefault="00B57F15" w:rsidP="00B54015">
      <w:pPr>
        <w:spacing w:before="240" w:line="320" w:lineRule="exact"/>
        <w:ind w:firstLineChars="100" w:firstLine="220"/>
        <w:jc w:val="both"/>
        <w:rPr>
          <w:rFonts w:ascii="Times New Roman" w:hAnsi="Times New Roman"/>
          <w:sz w:val="22"/>
          <w:szCs w:val="22"/>
        </w:rPr>
      </w:pPr>
      <w:r w:rsidRPr="00B54015">
        <w:rPr>
          <w:rFonts w:ascii="Times New Roman" w:hAnsi="Times New Roman"/>
          <w:sz w:val="22"/>
          <w:szCs w:val="22"/>
        </w:rPr>
        <w:t>A partir de la fin du 19</w:t>
      </w:r>
      <w:r w:rsidRPr="00B54015">
        <w:rPr>
          <w:rFonts w:ascii="Times New Roman" w:hAnsi="Times New Roman"/>
          <w:sz w:val="22"/>
          <w:szCs w:val="22"/>
          <w:vertAlign w:val="superscript"/>
        </w:rPr>
        <w:t>e</w:t>
      </w:r>
      <w:r w:rsidRPr="00B54015">
        <w:rPr>
          <w:rFonts w:ascii="Times New Roman" w:hAnsi="Times New Roman"/>
          <w:sz w:val="22"/>
          <w:szCs w:val="22"/>
        </w:rPr>
        <w:t xml:space="preserve"> siècle, la composition du livre se modifia peu à peu avec l’apparition de l’impression typographique, qui se substitua à l’impression tabellaire. A la suite de plusieurs essais pendant cette période de transition, le papier occidental remplaça le papier japonais et le brochage en cahiers souples au fil de soie passa à la reliure à couverture rigide munie d’un dos. Le livre de type occidental devient majoritaire par rapport au livre traditionnel japonais. En même temps, les illustrations perdirent de leur importance. C’est ainsi que disparut le livre illustré dans sa forme pré-moderne, qui fut à un moment donné la forme dominante pour les romans populaires japonais. </w:t>
      </w:r>
    </w:p>
    <w:p w14:paraId="638F8111" w14:textId="77777777" w:rsidR="00B57F15" w:rsidRPr="00B54015" w:rsidRDefault="00B57F15" w:rsidP="00B54015">
      <w:pPr>
        <w:spacing w:before="240" w:line="320" w:lineRule="exact"/>
        <w:jc w:val="both"/>
        <w:rPr>
          <w:rFonts w:ascii="Times New Roman" w:hAnsi="Times New Roman"/>
          <w:sz w:val="22"/>
          <w:szCs w:val="22"/>
        </w:rPr>
      </w:pPr>
    </w:p>
    <w:p w14:paraId="13575813" w14:textId="77777777" w:rsidR="00B57F15" w:rsidRPr="00B54015" w:rsidRDefault="00B57F15" w:rsidP="00B54015">
      <w:pPr>
        <w:spacing w:before="240" w:line="320" w:lineRule="exact"/>
        <w:jc w:val="both"/>
        <w:rPr>
          <w:rFonts w:ascii="Times New Roman" w:hAnsi="Times New Roman"/>
          <w:b/>
          <w:sz w:val="22"/>
          <w:szCs w:val="22"/>
        </w:rPr>
      </w:pPr>
      <w:r w:rsidRPr="00B54015">
        <w:rPr>
          <w:rFonts w:ascii="Times New Roman" w:hAnsi="Times New Roman"/>
          <w:b/>
          <w:sz w:val="22"/>
          <w:szCs w:val="22"/>
        </w:rPr>
        <w:t>Bibliographie</w:t>
      </w:r>
    </w:p>
    <w:p w14:paraId="18DA7DCA" w14:textId="127B400F" w:rsidR="00B57F15" w:rsidRPr="00B54015" w:rsidRDefault="00B57F15" w:rsidP="00B54015">
      <w:pPr>
        <w:spacing w:before="240" w:line="320" w:lineRule="exact"/>
        <w:jc w:val="both"/>
        <w:rPr>
          <w:rFonts w:ascii="Times New Roman" w:hAnsi="Times New Roman"/>
          <w:sz w:val="22"/>
          <w:szCs w:val="22"/>
        </w:rPr>
      </w:pPr>
      <w:r w:rsidRPr="00B54015">
        <w:rPr>
          <w:rFonts w:ascii="Times New Roman" w:hAnsi="Times New Roman"/>
          <w:sz w:val="22"/>
          <w:szCs w:val="22"/>
        </w:rPr>
        <w:t xml:space="preserve">Takagi Gen, </w:t>
      </w:r>
      <w:r w:rsidRPr="00B54015">
        <w:rPr>
          <w:rFonts w:ascii="Times New Roman" w:hAnsi="Times New Roman"/>
          <w:i/>
          <w:sz w:val="22"/>
          <w:szCs w:val="22"/>
        </w:rPr>
        <w:t>Etude sur les yomihon d’Edo </w:t>
      </w:r>
      <w:proofErr w:type="gramStart"/>
      <w:r w:rsidRPr="00B54015">
        <w:rPr>
          <w:rFonts w:ascii="Times New Roman" w:hAnsi="Times New Roman"/>
          <w:i/>
          <w:sz w:val="22"/>
          <w:szCs w:val="22"/>
        </w:rPr>
        <w:t>:</w:t>
      </w:r>
      <w:r w:rsidR="002A1893">
        <w:rPr>
          <w:rFonts w:ascii="Times New Roman" w:hAnsi="Times New Roman" w:hint="eastAsia"/>
          <w:i/>
          <w:sz w:val="22"/>
          <w:szCs w:val="22"/>
        </w:rPr>
        <w:t xml:space="preserve">　</w:t>
      </w:r>
      <w:r w:rsidRPr="00B54015">
        <w:rPr>
          <w:rFonts w:ascii="Times New Roman" w:hAnsi="Times New Roman"/>
          <w:i/>
          <w:sz w:val="22"/>
          <w:szCs w:val="22"/>
        </w:rPr>
        <w:t>les</w:t>
      </w:r>
      <w:proofErr w:type="gramEnd"/>
      <w:r w:rsidRPr="00B54015">
        <w:rPr>
          <w:rFonts w:ascii="Times New Roman" w:hAnsi="Times New Roman"/>
          <w:i/>
          <w:sz w:val="22"/>
          <w:szCs w:val="22"/>
        </w:rPr>
        <w:t xml:space="preserve"> formes du roman au </w:t>
      </w:r>
      <w:r w:rsidR="002A1893">
        <w:rPr>
          <w:rFonts w:ascii="Times New Roman" w:hAnsi="Times New Roman"/>
          <w:i/>
          <w:sz w:val="22"/>
          <w:szCs w:val="22"/>
        </w:rPr>
        <w:t>XIX</w:t>
      </w:r>
      <w:r w:rsidRPr="00B54015">
        <w:rPr>
          <w:rFonts w:ascii="Times New Roman" w:hAnsi="Times New Roman"/>
          <w:i/>
          <w:sz w:val="22"/>
          <w:szCs w:val="22"/>
          <w:vertAlign w:val="superscript"/>
        </w:rPr>
        <w:t>e</w:t>
      </w:r>
      <w:r w:rsidRPr="00B54015">
        <w:rPr>
          <w:rFonts w:ascii="Times New Roman" w:hAnsi="Times New Roman"/>
          <w:i/>
          <w:sz w:val="22"/>
          <w:szCs w:val="22"/>
        </w:rPr>
        <w:t xml:space="preserve"> siècle</w:t>
      </w:r>
      <w:r w:rsidRPr="00B54015">
        <w:rPr>
          <w:rFonts w:ascii="Times New Roman" w:hAnsi="Times New Roman"/>
          <w:sz w:val="22"/>
          <w:szCs w:val="22"/>
        </w:rPr>
        <w:t>, Tokyo, Perikansha, 1993.</w:t>
      </w:r>
    </w:p>
    <w:p w14:paraId="6E4CB3A7" w14:textId="67CEE86F" w:rsidR="00B57F15" w:rsidRPr="00B54015" w:rsidRDefault="00B57F15" w:rsidP="00B54015">
      <w:pPr>
        <w:spacing w:before="240" w:line="320" w:lineRule="exact"/>
        <w:jc w:val="both"/>
        <w:rPr>
          <w:rFonts w:ascii="Times New Roman" w:hAnsi="Times New Roman"/>
          <w:sz w:val="22"/>
          <w:szCs w:val="22"/>
        </w:rPr>
      </w:pPr>
      <w:r w:rsidRPr="00B54015">
        <w:rPr>
          <w:rFonts w:ascii="Times New Roman" w:hAnsi="Times New Roman"/>
          <w:sz w:val="22"/>
          <w:szCs w:val="22"/>
        </w:rPr>
        <w:t xml:space="preserve">Takagi Gen et als (dir.), </w:t>
      </w:r>
      <w:r w:rsidRPr="00B54015">
        <w:rPr>
          <w:rFonts w:ascii="Times New Roman" w:hAnsi="Times New Roman"/>
          <w:i/>
          <w:sz w:val="22"/>
          <w:szCs w:val="22"/>
        </w:rPr>
        <w:t xml:space="preserve">Kaika </w:t>
      </w:r>
      <w:proofErr w:type="spellStart"/>
      <w:r w:rsidRPr="00B54015">
        <w:rPr>
          <w:rFonts w:ascii="Times New Roman" w:hAnsi="Times New Roman"/>
          <w:i/>
          <w:sz w:val="22"/>
          <w:szCs w:val="22"/>
        </w:rPr>
        <w:t>fûzokushi</w:t>
      </w:r>
      <w:r w:rsidR="002A1893">
        <w:rPr>
          <w:rFonts w:ascii="Times New Roman" w:hAnsi="Times New Roman"/>
          <w:i/>
          <w:sz w:val="22"/>
          <w:szCs w:val="22"/>
        </w:rPr>
        <w:t>-</w:t>
      </w:r>
      <w:r w:rsidRPr="00B54015">
        <w:rPr>
          <w:rFonts w:ascii="Times New Roman" w:hAnsi="Times New Roman"/>
          <w:i/>
          <w:sz w:val="22"/>
          <w:szCs w:val="22"/>
        </w:rPr>
        <w:t>shû</w:t>
      </w:r>
      <w:proofErr w:type="spellEnd"/>
      <w:r w:rsidRPr="00B54015">
        <w:rPr>
          <w:rFonts w:ascii="Times New Roman" w:hAnsi="Times New Roman"/>
          <w:i/>
          <w:sz w:val="22"/>
          <w:szCs w:val="22"/>
        </w:rPr>
        <w:t xml:space="preserve">, </w:t>
      </w:r>
      <w:r w:rsidRPr="00B54015">
        <w:rPr>
          <w:rFonts w:ascii="Times New Roman" w:hAnsi="Times New Roman"/>
          <w:sz w:val="22"/>
          <w:szCs w:val="22"/>
        </w:rPr>
        <w:t>(Recueil de textes sur l’ouverture du Japon à la civilisation occidentale), collection « Shin Nihon koten bungaku », Tokyo, Iwanami shoten, 2004</w:t>
      </w:r>
    </w:p>
    <w:p w14:paraId="0F9507A8" w14:textId="77777777" w:rsidR="00B57F15" w:rsidRPr="00B54015" w:rsidRDefault="00B57F15" w:rsidP="00B54015">
      <w:pPr>
        <w:spacing w:before="240" w:line="320" w:lineRule="exact"/>
        <w:jc w:val="both"/>
        <w:rPr>
          <w:rFonts w:ascii="Times New Roman" w:hAnsi="Times New Roman"/>
          <w:b/>
          <w:sz w:val="22"/>
          <w:szCs w:val="22"/>
        </w:rPr>
      </w:pPr>
      <w:r w:rsidRPr="00B54015">
        <w:rPr>
          <w:rFonts w:ascii="Times New Roman" w:hAnsi="Times New Roman"/>
          <w:b/>
          <w:sz w:val="22"/>
          <w:szCs w:val="22"/>
        </w:rPr>
        <w:t>Profil</w:t>
      </w:r>
    </w:p>
    <w:p w14:paraId="6353606A" w14:textId="30FE64A5" w:rsidR="00B57F15" w:rsidRPr="00B54015" w:rsidRDefault="00B57F15" w:rsidP="00B54015">
      <w:pPr>
        <w:spacing w:before="240" w:line="320" w:lineRule="exact"/>
        <w:jc w:val="both"/>
        <w:rPr>
          <w:rFonts w:ascii="Times New Roman" w:hAnsi="Times New Roman"/>
          <w:sz w:val="22"/>
          <w:szCs w:val="22"/>
        </w:rPr>
      </w:pPr>
      <w:r w:rsidRPr="00B54015">
        <w:rPr>
          <w:rFonts w:ascii="Times New Roman" w:hAnsi="Times New Roman"/>
          <w:sz w:val="22"/>
          <w:szCs w:val="22"/>
        </w:rPr>
        <w:t xml:space="preserve">Né en 1955. Diplômé de l’université Tokyo Toritsu. Docteur es lettres. Actuellement professeur de lettres à l’université nationale de Chiba. Il s’intéresse principalement au roman de la fin de l’époque </w:t>
      </w:r>
      <w:r w:rsidR="00B9335D">
        <w:rPr>
          <w:rFonts w:ascii="Times New Roman" w:hAnsi="Times New Roman"/>
          <w:sz w:val="22"/>
          <w:szCs w:val="22"/>
        </w:rPr>
        <w:t>d’Edo</w:t>
      </w:r>
      <w:r w:rsidRPr="00B54015">
        <w:rPr>
          <w:rFonts w:ascii="Times New Roman" w:hAnsi="Times New Roman"/>
          <w:sz w:val="22"/>
          <w:szCs w:val="22"/>
        </w:rPr>
        <w:t xml:space="preserve">, mais ses articles portent également sur les romans du début de l’ère Meiji, et plus particulièrement sur les romans du </w:t>
      </w:r>
      <w:r w:rsidR="00B9335D">
        <w:rPr>
          <w:rFonts w:ascii="Times New Roman" w:hAnsi="Times New Roman"/>
          <w:sz w:val="22"/>
          <w:szCs w:val="22"/>
        </w:rPr>
        <w:t>XIX</w:t>
      </w:r>
      <w:r w:rsidRPr="00B54015">
        <w:rPr>
          <w:rFonts w:ascii="Times New Roman" w:hAnsi="Times New Roman"/>
          <w:sz w:val="22"/>
          <w:szCs w:val="22"/>
          <w:vertAlign w:val="superscript"/>
        </w:rPr>
        <w:t>e</w:t>
      </w:r>
      <w:r w:rsidRPr="00B54015">
        <w:rPr>
          <w:rFonts w:ascii="Times New Roman" w:hAnsi="Times New Roman"/>
          <w:sz w:val="22"/>
          <w:szCs w:val="22"/>
        </w:rPr>
        <w:t xml:space="preserve"> siècle qui ont été fortement influencés par les changements engendrés par l’impression typographique, dans la perspective d’une histoire sociale de l’édition. </w:t>
      </w:r>
    </w:p>
    <w:p w14:paraId="10A6BF0B" w14:textId="77777777" w:rsidR="001D3CEC" w:rsidRPr="00B54015" w:rsidRDefault="001D3CEC" w:rsidP="00B54015">
      <w:pPr>
        <w:spacing w:line="320" w:lineRule="exact"/>
        <w:jc w:val="both"/>
        <w:rPr>
          <w:rFonts w:ascii="Times New Roman" w:hAnsi="Times New Roman"/>
          <w:b/>
          <w:sz w:val="22"/>
          <w:szCs w:val="22"/>
          <w:lang w:val="fr-CA"/>
        </w:rPr>
      </w:pPr>
      <w:r w:rsidRPr="00B54015">
        <w:rPr>
          <w:rFonts w:ascii="Times New Roman" w:hAnsi="Times New Roman"/>
          <w:b/>
          <w:sz w:val="22"/>
          <w:szCs w:val="22"/>
          <w:lang w:val="fr-CA"/>
        </w:rPr>
        <w:t>Evolution et développement de la reliure au Japon : le passage du style japonais au style occidental</w:t>
      </w:r>
    </w:p>
    <w:p w14:paraId="67FBB820" w14:textId="77777777" w:rsidR="001D3CEC" w:rsidRPr="00B54015" w:rsidRDefault="00CA12F7" w:rsidP="00B54015">
      <w:pPr>
        <w:spacing w:line="320" w:lineRule="exact"/>
        <w:jc w:val="both"/>
        <w:rPr>
          <w:rFonts w:ascii="Times New Roman" w:hAnsi="Times New Roman"/>
          <w:b/>
          <w:sz w:val="22"/>
          <w:szCs w:val="22"/>
        </w:rPr>
      </w:pPr>
      <w:r w:rsidRPr="00B54015">
        <w:rPr>
          <w:rFonts w:ascii="Times New Roman" w:hAnsi="Times New Roman"/>
          <w:b/>
          <w:sz w:val="22"/>
          <w:szCs w:val="22"/>
        </w:rPr>
        <w:t>IWAKIRI Shin.ichirô (U</w:t>
      </w:r>
      <w:r w:rsidRPr="00B54015">
        <w:rPr>
          <w:rFonts w:ascii="Times New Roman" w:hAnsi="Times New Roman"/>
          <w:sz w:val="22"/>
          <w:szCs w:val="22"/>
        </w:rPr>
        <w:t>niversité Nitobe bunka</w:t>
      </w:r>
      <w:r w:rsidRPr="00B54015">
        <w:rPr>
          <w:rFonts w:ascii="Times New Roman" w:hAnsi="Times New Roman"/>
          <w:b/>
          <w:sz w:val="22"/>
          <w:szCs w:val="22"/>
        </w:rPr>
        <w:t>)</w:t>
      </w:r>
    </w:p>
    <w:p w14:paraId="3ED38721" w14:textId="77777777" w:rsidR="001D3CEC" w:rsidRPr="00B54015" w:rsidRDefault="001D3CEC" w:rsidP="00B54015">
      <w:pPr>
        <w:spacing w:line="320" w:lineRule="exact"/>
        <w:jc w:val="both"/>
        <w:rPr>
          <w:rFonts w:ascii="Times New Roman" w:hAnsi="Times New Roman"/>
          <w:sz w:val="22"/>
          <w:szCs w:val="22"/>
        </w:rPr>
      </w:pPr>
    </w:p>
    <w:p w14:paraId="53F3DF38"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La modernisation de l’impression au Japon débute avec l’introduction des caractères typographiques en métal et l’utilisation d’encre à base d’huile. Les œ</w:t>
      </w:r>
      <w:r w:rsidR="00B9335D">
        <w:rPr>
          <w:rFonts w:ascii="Times New Roman" w:hAnsi="Times New Roman"/>
          <w:sz w:val="22"/>
          <w:szCs w:val="22"/>
        </w:rPr>
        <w:t>u</w:t>
      </w:r>
      <w:r w:rsidRPr="00B54015">
        <w:rPr>
          <w:rFonts w:ascii="Times New Roman" w:hAnsi="Times New Roman"/>
          <w:sz w:val="22"/>
          <w:szCs w:val="22"/>
        </w:rPr>
        <w:t xml:space="preserve">vres littéraires commencent à bénéficier de cette nouvelle technique dans les années 10 de l’ère Meiji (1877-1886). A cette époque, une nouvelle page de l’histoire se tourne en ce qui concerne l’impression des textes des romans : ils passent de la gravure sur bois pratiquée à l’époque d’Edo aux caractères typographiques modernes. Pour ce faire, la « stéréotypie », qui permet d’imprimer sur une même feuille caractères typographiques et illustration en une seule fois, était indispensable.  </w:t>
      </w:r>
    </w:p>
    <w:p w14:paraId="4DC74634"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Cette évolution technique est accompagnée du changement de présentation du livre, qui passe du « livre japonais » au « livre occidental ». Cette mise à jour se fit à grande vitesse, entre le milieu des années 10 et le début des années 20 de l’ère Meiji (vers 1883-1887), dans le cadre de la course à la modernisation propre à cette époque.</w:t>
      </w:r>
    </w:p>
    <w:p w14:paraId="70DD1114" w14:textId="6DF4A3AE"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Le livre traditionnel japonais à l’époque pré-moderne </w:t>
      </w:r>
      <w:r w:rsidR="00B9335D">
        <w:rPr>
          <w:rFonts w:ascii="Times New Roman" w:hAnsi="Times New Roman"/>
          <w:sz w:val="22"/>
          <w:szCs w:val="22"/>
        </w:rPr>
        <w:t>était</w:t>
      </w:r>
      <w:r w:rsidR="00B9335D" w:rsidRPr="00B54015">
        <w:rPr>
          <w:rFonts w:ascii="Times New Roman" w:hAnsi="Times New Roman"/>
          <w:sz w:val="22"/>
          <w:szCs w:val="22"/>
        </w:rPr>
        <w:t xml:space="preserve"> </w:t>
      </w:r>
      <w:r w:rsidRPr="00B54015">
        <w:rPr>
          <w:rFonts w:ascii="Times New Roman" w:hAnsi="Times New Roman"/>
          <w:sz w:val="22"/>
          <w:szCs w:val="22"/>
        </w:rPr>
        <w:t xml:space="preserve">entièrement conçu à la main. Le texte et les illustrations étaient imprimés par le biais de la gravure sur bois à l’encre de chine, et la couverture était tirée de la même façon en utilisant plusieurs couleurs. Le tout </w:t>
      </w:r>
      <w:r w:rsidR="00B9335D">
        <w:rPr>
          <w:rFonts w:ascii="Times New Roman" w:hAnsi="Times New Roman"/>
          <w:sz w:val="22"/>
          <w:szCs w:val="22"/>
        </w:rPr>
        <w:t>était</w:t>
      </w:r>
      <w:r w:rsidRPr="00B54015">
        <w:rPr>
          <w:rFonts w:ascii="Times New Roman" w:hAnsi="Times New Roman"/>
          <w:sz w:val="22"/>
          <w:szCs w:val="22"/>
        </w:rPr>
        <w:t xml:space="preserve"> relié avec du fil. Cette technique disparut progressivement au milieu des années 10 de l’ère Meiji. Juste un peu avant cela, seul le texte était imprimé en caractères typographiques, mais sur du papier japonais.</w:t>
      </w:r>
    </w:p>
    <w:p w14:paraId="6BE52473"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Parallèlement, le « livre occidental » (ou le pseudo-livre occidental), dont la différence saute aux yeux, apparaut. Sa fabrication put être réalisée gâce à l’utilisation du papier épais (carton) pour la couverture : il s’agit de l’apparition du « livre avec couverture cartonnée ». Dans les librairies, les livres ne furent plus superposés les uns sur les autres, mais rangés verticalement sur des étagères. Le texte était imprimé en caractères typographiques sur du papier occidental et relié à la japonaise ; pour les illustrations intérieures, la gravure sur bois était encore utilisée et pour la couverture cartonnée (initialement il y avait juste le titre en caractère), une nouvelle technique, la chromolithographie (procédé d’impression lithographique en couleurs) fut appliquée. Ce fut l’apparition des premiers livres occidentaux à la japonaise. </w:t>
      </w:r>
    </w:p>
    <w:p w14:paraId="50B4371A" w14:textId="77777777" w:rsidR="001D3CEC" w:rsidRPr="00B54015" w:rsidRDefault="001D3CEC" w:rsidP="00B54015">
      <w:pPr>
        <w:spacing w:line="320" w:lineRule="exact"/>
        <w:jc w:val="both"/>
        <w:rPr>
          <w:rFonts w:ascii="Times New Roman" w:hAnsi="Times New Roman"/>
          <w:sz w:val="22"/>
          <w:szCs w:val="22"/>
        </w:rPr>
      </w:pPr>
    </w:p>
    <w:p w14:paraId="2CB2CCDE" w14:textId="77777777"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Bibliographie</w:t>
      </w:r>
    </w:p>
    <w:p w14:paraId="626A341E" w14:textId="37EA3A54"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Iwakiri Shin.ichirô,</w:t>
      </w:r>
      <w:r w:rsidR="00B9335D">
        <w:rPr>
          <w:rFonts w:ascii="Times New Roman" w:hAnsi="Times New Roman"/>
          <w:i/>
          <w:sz w:val="22"/>
          <w:szCs w:val="22"/>
        </w:rPr>
        <w:t xml:space="preserve"> H</w:t>
      </w:r>
      <w:r w:rsidRPr="00B54015">
        <w:rPr>
          <w:rFonts w:ascii="Times New Roman" w:hAnsi="Times New Roman"/>
          <w:i/>
          <w:sz w:val="22"/>
          <w:szCs w:val="22"/>
        </w:rPr>
        <w:t xml:space="preserve">istoire de la gravure à l’époque de Meiji, </w:t>
      </w:r>
      <w:r w:rsidRPr="00B54015">
        <w:rPr>
          <w:rFonts w:ascii="Times New Roman" w:hAnsi="Times New Roman"/>
          <w:sz w:val="22"/>
          <w:szCs w:val="22"/>
        </w:rPr>
        <w:t xml:space="preserve">Tokyo, Yoshikawa </w:t>
      </w:r>
      <w:proofErr w:type="spellStart"/>
      <w:r w:rsidRPr="00B54015">
        <w:rPr>
          <w:rFonts w:ascii="Times New Roman" w:hAnsi="Times New Roman"/>
          <w:sz w:val="22"/>
          <w:szCs w:val="22"/>
        </w:rPr>
        <w:t>k</w:t>
      </w:r>
      <w:r w:rsidR="00B9335D">
        <w:rPr>
          <w:rFonts w:ascii="Times New Roman" w:hAnsi="Times New Roman"/>
          <w:sz w:val="22"/>
          <w:szCs w:val="22"/>
        </w:rPr>
        <w:t>ô</w:t>
      </w:r>
      <w:r w:rsidRPr="00B54015">
        <w:rPr>
          <w:rFonts w:ascii="Times New Roman" w:hAnsi="Times New Roman"/>
          <w:sz w:val="22"/>
          <w:szCs w:val="22"/>
        </w:rPr>
        <w:t>bunkan</w:t>
      </w:r>
      <w:proofErr w:type="spellEnd"/>
      <w:r w:rsidRPr="00B54015">
        <w:rPr>
          <w:rFonts w:ascii="Times New Roman" w:hAnsi="Times New Roman"/>
          <w:sz w:val="22"/>
          <w:szCs w:val="22"/>
        </w:rPr>
        <w:t>, 2009</w:t>
      </w:r>
    </w:p>
    <w:p w14:paraId="1F5E4A14" w14:textId="2FCC7A0A" w:rsidR="001D3CEC" w:rsidRPr="00B54015" w:rsidRDefault="001D3CEC" w:rsidP="00B54015">
      <w:pPr>
        <w:spacing w:line="320" w:lineRule="exact"/>
        <w:jc w:val="both"/>
        <w:rPr>
          <w:rFonts w:ascii="Times New Roman" w:hAnsi="Times New Roman"/>
          <w:sz w:val="22"/>
          <w:szCs w:val="22"/>
        </w:rPr>
      </w:pPr>
      <w:proofErr w:type="spellStart"/>
      <w:r w:rsidRPr="00B54015">
        <w:rPr>
          <w:rFonts w:ascii="Times New Roman" w:hAnsi="Times New Roman"/>
          <w:sz w:val="22"/>
          <w:szCs w:val="22"/>
        </w:rPr>
        <w:t>Iwakiri</w:t>
      </w:r>
      <w:proofErr w:type="spellEnd"/>
      <w:r w:rsidRPr="00B54015">
        <w:rPr>
          <w:rFonts w:ascii="Times New Roman" w:hAnsi="Times New Roman"/>
          <w:sz w:val="22"/>
          <w:szCs w:val="22"/>
        </w:rPr>
        <w:t xml:space="preserve"> Shin.ichirô, « L’impression et la publication à l’ère Meiji : autour de l’évolution de la reliure des </w:t>
      </w:r>
      <w:r w:rsidR="00B9335D">
        <w:rPr>
          <w:rFonts w:ascii="Times New Roman" w:hAnsi="Times New Roman"/>
          <w:sz w:val="22"/>
          <w:szCs w:val="22"/>
        </w:rPr>
        <w:t>ouvrages</w:t>
      </w:r>
      <w:r w:rsidR="00B9335D" w:rsidRPr="00B54015">
        <w:rPr>
          <w:rFonts w:ascii="Times New Roman" w:hAnsi="Times New Roman"/>
          <w:sz w:val="22"/>
          <w:szCs w:val="22"/>
        </w:rPr>
        <w:t xml:space="preserve"> </w:t>
      </w:r>
      <w:r w:rsidRPr="00B54015">
        <w:rPr>
          <w:rFonts w:ascii="Times New Roman" w:hAnsi="Times New Roman"/>
          <w:sz w:val="22"/>
          <w:szCs w:val="22"/>
        </w:rPr>
        <w:t xml:space="preserve">littéraires », </w:t>
      </w:r>
      <w:r w:rsidRPr="00B54015">
        <w:rPr>
          <w:rFonts w:ascii="Times New Roman" w:hAnsi="Times New Roman"/>
          <w:bCs/>
          <w:i/>
          <w:iCs/>
          <w:sz w:val="22"/>
          <w:szCs w:val="22"/>
          <w:lang w:val="fr-CA"/>
        </w:rPr>
        <w:t xml:space="preserve">Nihon no moji bunka wo saguru. </w:t>
      </w:r>
      <w:r w:rsidRPr="00B54015">
        <w:rPr>
          <w:rFonts w:ascii="Times New Roman" w:hAnsi="Times New Roman"/>
          <w:bCs/>
          <w:i/>
          <w:iCs/>
          <w:sz w:val="22"/>
          <w:szCs w:val="22"/>
        </w:rPr>
        <w:t>Nichi-futsu no shiten kara</w:t>
      </w:r>
      <w:r w:rsidRPr="00B54015">
        <w:rPr>
          <w:rFonts w:ascii="Times New Roman" w:hAnsi="Times New Roman"/>
          <w:bCs/>
          <w:sz w:val="22"/>
          <w:szCs w:val="22"/>
        </w:rPr>
        <w:t xml:space="preserve"> (Recherches sur la culture écrite au Japon. </w:t>
      </w:r>
      <w:r w:rsidRPr="00B54015">
        <w:rPr>
          <w:rFonts w:ascii="Times New Roman" w:hAnsi="Times New Roman"/>
          <w:bCs/>
          <w:sz w:val="22"/>
          <w:szCs w:val="22"/>
          <w:lang w:val="fr-CA"/>
        </w:rPr>
        <w:t>Regards franco-japonais)</w:t>
      </w:r>
      <w:r w:rsidRPr="00B54015">
        <w:rPr>
          <w:rFonts w:ascii="Times New Roman" w:hAnsi="Times New Roman"/>
          <w:sz w:val="22"/>
          <w:szCs w:val="22"/>
        </w:rPr>
        <w:t xml:space="preserve">, Tokyo, Bensei shuppan, 2010 </w:t>
      </w:r>
    </w:p>
    <w:p w14:paraId="7F4C994F"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Iwakiri Shin.ichirô, « Tokyo, la ville de l’imprimerie à l’ère Meiji : l’essor et le déclin de l’édition », catalogue de l’exposition </w:t>
      </w:r>
      <w:r w:rsidRPr="00B54015">
        <w:rPr>
          <w:rFonts w:ascii="Times New Roman" w:hAnsi="Times New Roman"/>
          <w:i/>
          <w:sz w:val="22"/>
          <w:szCs w:val="22"/>
        </w:rPr>
        <w:t>Tokyo, la ville de l’imprimerie et le Japon moderne</w:t>
      </w:r>
      <w:r w:rsidRPr="00B54015">
        <w:rPr>
          <w:rFonts w:ascii="Times New Roman" w:hAnsi="Times New Roman"/>
          <w:sz w:val="22"/>
          <w:szCs w:val="22"/>
        </w:rPr>
        <w:t>, Tokyo, Insatsu hakubutsukan, 2012</w:t>
      </w:r>
    </w:p>
    <w:p w14:paraId="38A266CF" w14:textId="77777777" w:rsidR="001D3CEC" w:rsidRPr="00B54015" w:rsidRDefault="001D3CEC" w:rsidP="00B54015">
      <w:pPr>
        <w:spacing w:line="320" w:lineRule="exact"/>
        <w:jc w:val="both"/>
        <w:rPr>
          <w:rFonts w:ascii="Times New Roman" w:hAnsi="Times New Roman"/>
          <w:sz w:val="22"/>
          <w:szCs w:val="22"/>
        </w:rPr>
      </w:pPr>
    </w:p>
    <w:p w14:paraId="494ED775" w14:textId="77777777"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270BEB37" w14:textId="52729D16"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Professeur à l’université Nitobe bunka. Né en 1950, master de lettres à l’université Kokugakuin. Prix du ministre de la Culture en 2010 pour l’</w:t>
      </w:r>
      <w:r w:rsidRPr="00B54015">
        <w:rPr>
          <w:rFonts w:ascii="Times New Roman" w:hAnsi="Times New Roman"/>
          <w:i/>
          <w:sz w:val="22"/>
          <w:szCs w:val="22"/>
        </w:rPr>
        <w:t>Histoire de la gravure à l’époque de Meiji</w:t>
      </w:r>
      <w:r w:rsidRPr="00B54015">
        <w:rPr>
          <w:rFonts w:ascii="Times New Roman" w:hAnsi="Times New Roman"/>
          <w:sz w:val="22"/>
          <w:szCs w:val="22"/>
        </w:rPr>
        <w:t xml:space="preserve"> (2009).</w:t>
      </w:r>
    </w:p>
    <w:p w14:paraId="0F4B727A" w14:textId="77777777" w:rsidR="001D3CEC" w:rsidRPr="00B54015" w:rsidRDefault="001D3CEC" w:rsidP="00B54015">
      <w:pPr>
        <w:spacing w:line="320" w:lineRule="exact"/>
        <w:jc w:val="both"/>
        <w:rPr>
          <w:rFonts w:ascii="Times New Roman" w:hAnsi="Times New Roman"/>
          <w:i/>
          <w:sz w:val="22"/>
          <w:szCs w:val="22"/>
        </w:rPr>
      </w:pPr>
    </w:p>
    <w:p w14:paraId="5C736F76" w14:textId="77777777" w:rsidR="001D3CEC" w:rsidRPr="00B54015" w:rsidRDefault="001D3CEC" w:rsidP="00B54015">
      <w:pPr>
        <w:spacing w:line="320" w:lineRule="exact"/>
        <w:jc w:val="both"/>
        <w:rPr>
          <w:rFonts w:ascii="Times New Roman" w:hAnsi="Times New Roman"/>
          <w:sz w:val="22"/>
          <w:szCs w:val="22"/>
          <w:lang w:eastAsia="ja-JP"/>
        </w:rPr>
      </w:pPr>
      <w:r w:rsidRPr="00B54015">
        <w:rPr>
          <w:rFonts w:ascii="Times New Roman" w:hAnsi="Times New Roman"/>
          <w:sz w:val="22"/>
          <w:szCs w:val="22"/>
          <w:lang w:eastAsia="ja-JP"/>
        </w:rPr>
        <w:br w:type="page"/>
      </w:r>
    </w:p>
    <w:p w14:paraId="5387E419" w14:textId="77777777" w:rsidR="001D3CEC" w:rsidRPr="00B54015" w:rsidRDefault="001D3CEC" w:rsidP="00B54015">
      <w:pPr>
        <w:autoSpaceDE w:val="0"/>
        <w:autoSpaceDN w:val="0"/>
        <w:spacing w:line="320" w:lineRule="exact"/>
        <w:jc w:val="both"/>
        <w:rPr>
          <w:rFonts w:ascii="Times New Roman" w:eastAsia="ＭＳ Ｐ明朝" w:hAnsi="Times New Roman"/>
          <w:b/>
          <w:sz w:val="22"/>
          <w:szCs w:val="22"/>
          <w:lang w:val="fr-CA"/>
        </w:rPr>
      </w:pPr>
      <w:r w:rsidRPr="00B54015">
        <w:rPr>
          <w:rFonts w:ascii="Times New Roman" w:eastAsia="ＭＳ Ｐ明朝" w:hAnsi="Times New Roman"/>
          <w:b/>
          <w:sz w:val="22"/>
          <w:szCs w:val="22"/>
          <w:lang w:val="fr-CA"/>
        </w:rPr>
        <w:t xml:space="preserve">Les périodiques </w:t>
      </w:r>
      <w:r w:rsidRPr="00B54015">
        <w:rPr>
          <w:rFonts w:ascii="Times New Roman" w:eastAsia="ＭＳ Ｐ明朝" w:hAnsi="Times New Roman"/>
          <w:b/>
          <w:i/>
          <w:sz w:val="22"/>
          <w:szCs w:val="22"/>
          <w:lang w:val="fr-CA"/>
        </w:rPr>
        <w:t>Marumaru chinbun </w:t>
      </w:r>
      <w:r w:rsidRPr="00B54015">
        <w:rPr>
          <w:rFonts w:ascii="Times New Roman" w:eastAsia="ＭＳ Ｐ明朝" w:hAnsi="Times New Roman"/>
          <w:b/>
          <w:sz w:val="22"/>
          <w:szCs w:val="22"/>
          <w:lang w:val="fr-CA"/>
        </w:rPr>
        <w:t xml:space="preserve">et </w:t>
      </w:r>
      <w:r w:rsidRPr="00B54015">
        <w:rPr>
          <w:rFonts w:ascii="Times New Roman" w:eastAsia="ＭＳ Ｐ明朝" w:hAnsi="Times New Roman"/>
          <w:b/>
          <w:i/>
          <w:sz w:val="22"/>
          <w:szCs w:val="22"/>
          <w:lang w:val="fr-CA"/>
        </w:rPr>
        <w:t>Tôbaé</w:t>
      </w:r>
      <w:r w:rsidRPr="00B54015">
        <w:rPr>
          <w:rFonts w:ascii="Times New Roman" w:eastAsia="ＭＳ Ｐ明朝" w:hAnsi="Times New Roman"/>
          <w:b/>
          <w:sz w:val="22"/>
          <w:szCs w:val="22"/>
          <w:lang w:val="fr-CA"/>
        </w:rPr>
        <w:t> et leurs illustrateurs Kobayashi Kiyochika et Georges Bigot</w:t>
      </w:r>
    </w:p>
    <w:p w14:paraId="1F4671F2" w14:textId="77777777" w:rsidR="001D3CEC" w:rsidRPr="00B54015" w:rsidRDefault="001D3CEC" w:rsidP="00B54015">
      <w:pPr>
        <w:autoSpaceDE w:val="0"/>
        <w:autoSpaceDN w:val="0"/>
        <w:spacing w:line="320" w:lineRule="exact"/>
        <w:jc w:val="both"/>
        <w:rPr>
          <w:rFonts w:ascii="Times New Roman" w:eastAsia="ＭＳ Ｐ明朝" w:hAnsi="Times New Roman"/>
          <w:b/>
          <w:sz w:val="22"/>
          <w:szCs w:val="22"/>
          <w:lang w:val="fr-CA"/>
        </w:rPr>
      </w:pPr>
      <w:r w:rsidRPr="00B54015">
        <w:rPr>
          <w:rFonts w:ascii="Times New Roman" w:eastAsia="ＭＳ Ｐ明朝" w:hAnsi="Times New Roman"/>
          <w:b/>
          <w:sz w:val="22"/>
          <w:szCs w:val="22"/>
          <w:lang w:val="fr-CA"/>
        </w:rPr>
        <w:t>SHIMIZU Isao</w:t>
      </w:r>
      <w:r w:rsidRPr="00B54015">
        <w:rPr>
          <w:rFonts w:ascii="Times New Roman" w:eastAsia="ＭＳ Ｐ明朝" w:hAnsi="Times New Roman"/>
          <w:b/>
          <w:sz w:val="22"/>
          <w:szCs w:val="22"/>
        </w:rPr>
        <w:t xml:space="preserve">　</w:t>
      </w:r>
      <w:r w:rsidRPr="00B54015">
        <w:rPr>
          <w:rFonts w:ascii="Times New Roman" w:eastAsia="ＭＳ Ｐ明朝" w:hAnsi="Times New Roman"/>
          <w:b/>
          <w:sz w:val="22"/>
          <w:szCs w:val="22"/>
          <w:lang w:val="fr-CA"/>
        </w:rPr>
        <w:t>(</w:t>
      </w:r>
      <w:r w:rsidRPr="00B54015">
        <w:rPr>
          <w:rFonts w:ascii="Times New Roman" w:eastAsia="ＭＳ Ｐ明朝" w:hAnsi="Times New Roman"/>
          <w:sz w:val="22"/>
          <w:szCs w:val="22"/>
          <w:lang w:val="fr-CA"/>
        </w:rPr>
        <w:t>Société d’histoire des relations nippo-françaises</w:t>
      </w:r>
      <w:r w:rsidRPr="00B54015">
        <w:rPr>
          <w:rFonts w:ascii="Times New Roman" w:eastAsia="ＭＳ Ｐ明朝" w:hAnsi="Times New Roman"/>
          <w:b/>
          <w:sz w:val="22"/>
          <w:szCs w:val="22"/>
          <w:lang w:val="fr-CA"/>
        </w:rPr>
        <w:t>)</w:t>
      </w:r>
    </w:p>
    <w:p w14:paraId="6C8E02BD" w14:textId="77777777" w:rsidR="001D3CEC" w:rsidRPr="00B54015" w:rsidRDefault="001D3CEC" w:rsidP="00B54015">
      <w:pPr>
        <w:spacing w:line="320" w:lineRule="exact"/>
        <w:jc w:val="both"/>
        <w:rPr>
          <w:rFonts w:ascii="Times New Roman" w:hAnsi="Times New Roman"/>
          <w:sz w:val="22"/>
          <w:szCs w:val="22"/>
          <w:lang w:val="fr-CA"/>
        </w:rPr>
      </w:pPr>
    </w:p>
    <w:p w14:paraId="1F0C04D9" w14:textId="12012B76"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Dans les années 1880 se développe au Japon le Mouvement pour les droits et la liberté du peuple et deux journaux satiriques y apportent leur soutien en publiant leurs opinions à travers des illustrations qui s’attaquant aux problèmes de la société : l’un est le </w:t>
      </w:r>
      <w:r w:rsidRPr="00B54015">
        <w:rPr>
          <w:rFonts w:ascii="Times New Roman" w:hAnsi="Times New Roman"/>
          <w:i/>
          <w:sz w:val="22"/>
          <w:szCs w:val="22"/>
        </w:rPr>
        <w:t>Marumaru chinbun</w:t>
      </w:r>
      <w:r w:rsidRPr="00B54015">
        <w:rPr>
          <w:rFonts w:ascii="Times New Roman" w:hAnsi="Times New Roman"/>
          <w:sz w:val="22"/>
          <w:szCs w:val="22"/>
        </w:rPr>
        <w:t>, journal de Tokyo, et l’autre</w:t>
      </w:r>
      <w:r w:rsidR="00B9335D">
        <w:rPr>
          <w:rFonts w:ascii="Times New Roman" w:hAnsi="Times New Roman"/>
          <w:sz w:val="22"/>
          <w:szCs w:val="22"/>
        </w:rPr>
        <w:t xml:space="preserve"> le</w:t>
      </w:r>
      <w:r w:rsidRPr="00B54015">
        <w:rPr>
          <w:rFonts w:ascii="Times New Roman" w:hAnsi="Times New Roman"/>
          <w:sz w:val="22"/>
          <w:szCs w:val="22"/>
        </w:rPr>
        <w:t xml:space="preserve"> </w:t>
      </w:r>
      <w:proofErr w:type="spellStart"/>
      <w:r w:rsidRPr="00B54015">
        <w:rPr>
          <w:rFonts w:ascii="Times New Roman" w:hAnsi="Times New Roman"/>
          <w:i/>
          <w:sz w:val="22"/>
          <w:szCs w:val="22"/>
        </w:rPr>
        <w:t>Tôbaé</w:t>
      </w:r>
      <w:proofErr w:type="spellEnd"/>
      <w:r w:rsidRPr="00B54015">
        <w:rPr>
          <w:rFonts w:ascii="Times New Roman" w:hAnsi="Times New Roman"/>
          <w:sz w:val="22"/>
          <w:szCs w:val="22"/>
        </w:rPr>
        <w:t xml:space="preserve"> de Yokohama. Dans le premier, ce fut Kobayashi Kiyochika, artiste du genre </w:t>
      </w:r>
      <w:r w:rsidRPr="00B54015">
        <w:rPr>
          <w:rFonts w:ascii="Times New Roman" w:hAnsi="Times New Roman"/>
          <w:i/>
          <w:sz w:val="22"/>
          <w:szCs w:val="22"/>
        </w:rPr>
        <w:t>ukiyo-e</w:t>
      </w:r>
      <w:r w:rsidRPr="00B54015">
        <w:rPr>
          <w:rFonts w:ascii="Times New Roman" w:hAnsi="Times New Roman"/>
          <w:sz w:val="22"/>
          <w:szCs w:val="22"/>
        </w:rPr>
        <w:t xml:space="preserve"> et, dans le second, le peintre français Georges Bigot qui se chargèrent de réaliser les dessins satiriques. Bigot publia aussi des dessins dans le </w:t>
      </w:r>
      <w:r w:rsidRPr="00B54015">
        <w:rPr>
          <w:rFonts w:ascii="Times New Roman" w:hAnsi="Times New Roman"/>
          <w:i/>
          <w:sz w:val="22"/>
          <w:szCs w:val="22"/>
        </w:rPr>
        <w:t>Marumaru chinbun</w:t>
      </w:r>
      <w:r w:rsidRPr="00B54015">
        <w:rPr>
          <w:rFonts w:ascii="Times New Roman" w:hAnsi="Times New Roman"/>
          <w:sz w:val="22"/>
          <w:szCs w:val="22"/>
        </w:rPr>
        <w:t xml:space="preserve"> à l’époque où Kiyochika déployait son activité. Les deux artistes ont entretenu des relations amicales et semblent avoir parfait ensemble leur technique quant à l’élaboration des images satiriques. </w:t>
      </w:r>
    </w:p>
    <w:p w14:paraId="2B22B9CC" w14:textId="1DEE74A3"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 </w:t>
      </w:r>
      <w:r w:rsidR="009048C9" w:rsidRPr="00B54015">
        <w:rPr>
          <w:rFonts w:ascii="Times New Roman" w:hAnsi="Times New Roman"/>
          <w:sz w:val="22"/>
          <w:szCs w:val="22"/>
        </w:rPr>
        <w:t xml:space="preserve"> </w:t>
      </w:r>
      <w:r w:rsidRPr="00B54015">
        <w:rPr>
          <w:rFonts w:ascii="Times New Roman" w:hAnsi="Times New Roman"/>
          <w:sz w:val="22"/>
          <w:szCs w:val="22"/>
        </w:rPr>
        <w:t xml:space="preserve">Le Japon ne connaissait jusqu’alors pratiquement pas la lithographie satirique. L’histoire de l’illustration satirique japonaise moderne commence avec les gravures sur cuivre du </w:t>
      </w:r>
      <w:r w:rsidRPr="00B54015">
        <w:rPr>
          <w:rFonts w:ascii="Times New Roman" w:hAnsi="Times New Roman"/>
          <w:i/>
          <w:sz w:val="22"/>
          <w:szCs w:val="22"/>
        </w:rPr>
        <w:t>Marumaru Chinbun</w:t>
      </w:r>
      <w:r w:rsidRPr="00B54015">
        <w:rPr>
          <w:rFonts w:ascii="Times New Roman" w:hAnsi="Times New Roman"/>
          <w:sz w:val="22"/>
          <w:szCs w:val="22"/>
        </w:rPr>
        <w:t xml:space="preserve">. D’autre part, le </w:t>
      </w:r>
      <w:r w:rsidR="00B9335D">
        <w:rPr>
          <w:rFonts w:ascii="Times New Roman" w:hAnsi="Times New Roman"/>
          <w:sz w:val="22"/>
          <w:szCs w:val="22"/>
        </w:rPr>
        <w:t>XIX</w:t>
      </w:r>
      <w:r w:rsidR="00B9335D" w:rsidRPr="00B54015">
        <w:rPr>
          <w:rFonts w:ascii="Times New Roman" w:hAnsi="Times New Roman"/>
          <w:sz w:val="22"/>
          <w:szCs w:val="22"/>
          <w:vertAlign w:val="superscript"/>
        </w:rPr>
        <w:t>e</w:t>
      </w:r>
      <w:r w:rsidR="00B9335D" w:rsidRPr="00B54015">
        <w:rPr>
          <w:rFonts w:ascii="Times New Roman" w:hAnsi="Times New Roman"/>
          <w:sz w:val="22"/>
          <w:szCs w:val="22"/>
        </w:rPr>
        <w:t xml:space="preserve"> </w:t>
      </w:r>
      <w:r w:rsidRPr="00B54015">
        <w:rPr>
          <w:rFonts w:ascii="Times New Roman" w:hAnsi="Times New Roman"/>
          <w:sz w:val="22"/>
          <w:szCs w:val="22"/>
        </w:rPr>
        <w:t>siècle fut l’âge d’or des illustrations satiriques en France. Nombre de chefs-d’œuvre furent conçus à l’aide de la technique de la lithographie et de la gravure sur bois. Bigot a visiblement importé ces techniques au Japon, pour les transmettre à Kobayashi Kiyochika.</w:t>
      </w:r>
    </w:p>
    <w:p w14:paraId="6E3E8D17" w14:textId="77777777" w:rsidR="001D3CEC" w:rsidRPr="00B54015" w:rsidRDefault="001D3CEC" w:rsidP="00B54015">
      <w:pPr>
        <w:spacing w:line="320" w:lineRule="exact"/>
        <w:jc w:val="both"/>
        <w:rPr>
          <w:rFonts w:ascii="Times New Roman" w:hAnsi="Times New Roman"/>
          <w:sz w:val="22"/>
          <w:szCs w:val="22"/>
        </w:rPr>
      </w:pPr>
    </w:p>
    <w:p w14:paraId="70B79E38" w14:textId="5FFD61FC"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b/>
          <w:sz w:val="22"/>
          <w:szCs w:val="22"/>
        </w:rPr>
        <w:t>Bibliographie</w:t>
      </w:r>
      <w:r w:rsidRPr="00B54015">
        <w:rPr>
          <w:rFonts w:ascii="Times New Roman" w:hAnsi="Times New Roman"/>
          <w:sz w:val="22"/>
          <w:szCs w:val="22"/>
        </w:rPr>
        <w:t xml:space="preserve"> (publications de Shimizu Isao, en japonais)</w:t>
      </w:r>
    </w:p>
    <w:p w14:paraId="4F3DB5B7"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i/>
          <w:sz w:val="22"/>
          <w:szCs w:val="22"/>
        </w:rPr>
        <w:t>Les mangas satiriques de Kobayashi Kiyochika</w:t>
      </w:r>
      <w:r w:rsidRPr="00B54015">
        <w:rPr>
          <w:rFonts w:ascii="Times New Roman" w:hAnsi="Times New Roman"/>
          <w:sz w:val="22"/>
          <w:szCs w:val="22"/>
        </w:rPr>
        <w:t>, Iwasaki bijutsu sha, 1982</w:t>
      </w:r>
    </w:p>
    <w:p w14:paraId="0D711290"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i/>
          <w:sz w:val="22"/>
          <w:szCs w:val="22"/>
        </w:rPr>
        <w:t>Le manga moderne 2 : le manga à l’ère du Mouvement pour les droits et la liberté du peuple</w:t>
      </w:r>
      <w:r w:rsidRPr="00B54015">
        <w:rPr>
          <w:rFonts w:ascii="Times New Roman" w:hAnsi="Times New Roman"/>
          <w:sz w:val="22"/>
          <w:szCs w:val="22"/>
        </w:rPr>
        <w:t>, Chikuma shobô, 1986 (en collaboration avec Maeda Ai)</w:t>
      </w:r>
    </w:p>
    <w:p w14:paraId="45E1D310"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i/>
          <w:sz w:val="22"/>
          <w:szCs w:val="22"/>
        </w:rPr>
        <w:t>Les dessins de Bigot</w:t>
      </w:r>
      <w:r w:rsidRPr="00B54015">
        <w:rPr>
          <w:rFonts w:ascii="Times New Roman" w:hAnsi="Times New Roman"/>
          <w:sz w:val="22"/>
          <w:szCs w:val="22"/>
        </w:rPr>
        <w:t>, Iwanami bunko, 1986</w:t>
      </w:r>
    </w:p>
    <w:p w14:paraId="036AE1DC"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i/>
          <w:sz w:val="22"/>
          <w:szCs w:val="22"/>
        </w:rPr>
        <w:t>Le Japon à l’ère Meiji vu par Bigot</w:t>
      </w:r>
      <w:r w:rsidRPr="00B54015">
        <w:rPr>
          <w:rFonts w:ascii="Times New Roman" w:hAnsi="Times New Roman"/>
          <w:sz w:val="22"/>
          <w:szCs w:val="22"/>
        </w:rPr>
        <w:t>, Kodansha gakujutsu bunko, 2006</w:t>
      </w:r>
    </w:p>
    <w:p w14:paraId="36676E9E"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i/>
          <w:sz w:val="22"/>
          <w:szCs w:val="22"/>
        </w:rPr>
        <w:t>Les 150 ans de Bigot</w:t>
      </w:r>
      <w:r w:rsidRPr="00B54015">
        <w:rPr>
          <w:rFonts w:ascii="Times New Roman" w:hAnsi="Times New Roman"/>
          <w:sz w:val="22"/>
          <w:szCs w:val="22"/>
        </w:rPr>
        <w:t>, Rinsen shoten, 2011</w:t>
      </w:r>
    </w:p>
    <w:p w14:paraId="390B77FE"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 Les personnages de </w:t>
      </w:r>
      <w:r w:rsidRPr="00B54015">
        <w:rPr>
          <w:rFonts w:ascii="Times New Roman" w:hAnsi="Times New Roman"/>
          <w:i/>
          <w:sz w:val="22"/>
          <w:szCs w:val="22"/>
        </w:rPr>
        <w:t>Tôbaé </w:t>
      </w:r>
      <w:r w:rsidRPr="00B54015">
        <w:rPr>
          <w:rFonts w:ascii="Times New Roman" w:hAnsi="Times New Roman"/>
          <w:sz w:val="22"/>
          <w:szCs w:val="22"/>
        </w:rPr>
        <w:t xml:space="preserve">», </w:t>
      </w:r>
      <w:r w:rsidRPr="00B54015">
        <w:rPr>
          <w:rFonts w:ascii="Times New Roman" w:hAnsi="Times New Roman"/>
          <w:i/>
          <w:sz w:val="22"/>
          <w:szCs w:val="22"/>
        </w:rPr>
        <w:t>Furansu-gaku kenkyû</w:t>
      </w:r>
      <w:r w:rsidRPr="00B54015">
        <w:rPr>
          <w:rFonts w:ascii="Times New Roman" w:hAnsi="Times New Roman"/>
          <w:sz w:val="22"/>
          <w:szCs w:val="22"/>
        </w:rPr>
        <w:t>, n° 39, Société d’histoire des relations nippo-françaises, 2013</w:t>
      </w:r>
    </w:p>
    <w:p w14:paraId="080727E3" w14:textId="77777777" w:rsidR="001D3CEC" w:rsidRPr="00B54015" w:rsidRDefault="001D3CEC" w:rsidP="00B54015">
      <w:pPr>
        <w:spacing w:line="320" w:lineRule="exact"/>
        <w:jc w:val="both"/>
        <w:rPr>
          <w:rFonts w:ascii="Times New Roman" w:hAnsi="Times New Roman"/>
          <w:sz w:val="22"/>
          <w:szCs w:val="22"/>
        </w:rPr>
      </w:pPr>
    </w:p>
    <w:p w14:paraId="1591F66D" w14:textId="77777777"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1BA7679A" w14:textId="5200E418"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Président de la Société d’histoire des relations nippo-françaises. Ancien professeur à l’université Teikyô Heisei. Il est aujourd’hui conseiller au Musée International du Manga de Kyôto et directeur de la revue </w:t>
      </w:r>
      <w:r w:rsidRPr="00B54015">
        <w:rPr>
          <w:rFonts w:ascii="Times New Roman" w:hAnsi="Times New Roman"/>
          <w:i/>
          <w:sz w:val="22"/>
          <w:szCs w:val="22"/>
        </w:rPr>
        <w:t xml:space="preserve">Fûshiga kenkyû </w:t>
      </w:r>
      <w:r w:rsidRPr="00B54015">
        <w:rPr>
          <w:rFonts w:ascii="Times New Roman" w:hAnsi="Times New Roman"/>
          <w:sz w:val="22"/>
          <w:szCs w:val="22"/>
        </w:rPr>
        <w:t>(Recherches sur les illustrations satiriques). Il poursuit ses recherches sur les mangas, l’illustration satirique et Georges Bigot.</w:t>
      </w:r>
    </w:p>
    <w:p w14:paraId="003E34AC" w14:textId="073B5A58" w:rsidR="001D3CEC" w:rsidRPr="00B54015" w:rsidRDefault="001D3CEC" w:rsidP="00B54015">
      <w:pPr>
        <w:spacing w:line="320" w:lineRule="exact"/>
        <w:jc w:val="both"/>
        <w:rPr>
          <w:rFonts w:ascii="Times New Roman" w:hAnsi="Times New Roman"/>
          <w:sz w:val="22"/>
          <w:szCs w:val="22"/>
          <w:u w:val="single"/>
        </w:rPr>
      </w:pPr>
      <w:r w:rsidRPr="00B54015">
        <w:rPr>
          <w:rFonts w:ascii="Times New Roman" w:hAnsi="Times New Roman"/>
          <w:sz w:val="22"/>
          <w:szCs w:val="22"/>
        </w:rPr>
        <w:t>Né en 1939 à Tokyo. Ses parents géraient une maison d’édition qui publiait des revues de mangas et il s’intéressa tôt aux mangas et tenta lui-même d’en dessiner. Son intérêt pour l’histoire du manga apparut vers la trentaine et il commença à rassembler des archives sur ce sujet. A partir de la quarantaine, il commen</w:t>
      </w:r>
      <w:r w:rsidR="00B9335D">
        <w:rPr>
          <w:rFonts w:ascii="Times New Roman" w:hAnsi="Times New Roman"/>
          <w:sz w:val="22"/>
          <w:szCs w:val="22"/>
        </w:rPr>
        <w:t>ça</w:t>
      </w:r>
      <w:r w:rsidRPr="00B54015">
        <w:rPr>
          <w:rFonts w:ascii="Times New Roman" w:hAnsi="Times New Roman"/>
          <w:sz w:val="22"/>
          <w:szCs w:val="22"/>
        </w:rPr>
        <w:t xml:space="preserve"> à publier des livres sur les mangas. </w:t>
      </w:r>
    </w:p>
    <w:p w14:paraId="6D776706" w14:textId="77777777" w:rsidR="001D3CEC" w:rsidRPr="00B54015" w:rsidRDefault="001D3CEC" w:rsidP="00B54015">
      <w:pPr>
        <w:spacing w:line="320" w:lineRule="exact"/>
        <w:jc w:val="both"/>
        <w:rPr>
          <w:rFonts w:ascii="Times New Roman" w:hAnsi="Times New Roman"/>
          <w:sz w:val="22"/>
          <w:szCs w:val="22"/>
          <w:lang w:eastAsia="ja-JP"/>
        </w:rPr>
      </w:pPr>
      <w:r w:rsidRPr="00B54015">
        <w:rPr>
          <w:rFonts w:ascii="Times New Roman" w:hAnsi="Times New Roman"/>
          <w:sz w:val="22"/>
          <w:szCs w:val="22"/>
          <w:lang w:eastAsia="ja-JP"/>
        </w:rPr>
        <w:br w:type="page"/>
      </w:r>
    </w:p>
    <w:p w14:paraId="18B84865" w14:textId="77777777" w:rsidR="001D3CEC" w:rsidRPr="00B54015" w:rsidRDefault="001D3CEC" w:rsidP="00B54015">
      <w:pPr>
        <w:autoSpaceDE w:val="0"/>
        <w:autoSpaceDN w:val="0"/>
        <w:spacing w:line="320" w:lineRule="exact"/>
        <w:jc w:val="both"/>
        <w:rPr>
          <w:rFonts w:ascii="Times New Roman" w:eastAsia="ＭＳ Ｐ明朝" w:hAnsi="Times New Roman"/>
          <w:b/>
          <w:sz w:val="22"/>
          <w:szCs w:val="22"/>
          <w:lang w:val="fr-CA"/>
        </w:rPr>
      </w:pPr>
      <w:r w:rsidRPr="00B54015">
        <w:rPr>
          <w:rFonts w:ascii="Times New Roman" w:eastAsia="ＭＳ Ｐ明朝" w:hAnsi="Times New Roman"/>
          <w:b/>
          <w:sz w:val="22"/>
          <w:szCs w:val="22"/>
          <w:lang w:val="fr-CA"/>
        </w:rPr>
        <w:t xml:space="preserve">Le livre imprimé sur papier crêpe et l’éditeur Hasegawa Takejirô : la publication à la fin du XIXe siècle au Japon des ouvrages en langue occidentale illustrés  </w:t>
      </w:r>
    </w:p>
    <w:p w14:paraId="70BE0C40" w14:textId="77777777" w:rsidR="001D3CEC" w:rsidRPr="00B54015" w:rsidRDefault="001D3CEC" w:rsidP="00B54015">
      <w:pPr>
        <w:autoSpaceDE w:val="0"/>
        <w:autoSpaceDN w:val="0"/>
        <w:spacing w:line="320" w:lineRule="exact"/>
        <w:jc w:val="both"/>
        <w:rPr>
          <w:rFonts w:ascii="Times New Roman" w:eastAsia="ＭＳ Ｐ明朝" w:hAnsi="Times New Roman"/>
          <w:b/>
          <w:sz w:val="22"/>
          <w:szCs w:val="22"/>
          <w:lang w:val="fr-CA"/>
        </w:rPr>
      </w:pPr>
      <w:r w:rsidRPr="00B54015">
        <w:rPr>
          <w:rFonts w:ascii="Times New Roman" w:eastAsia="ＭＳ Ｐ明朝" w:hAnsi="Times New Roman"/>
          <w:b/>
          <w:sz w:val="22"/>
          <w:szCs w:val="22"/>
          <w:lang w:val="fr-CA"/>
        </w:rPr>
        <w:t>OTSUKA Nanae (</w:t>
      </w:r>
      <w:r w:rsidRPr="00B54015">
        <w:rPr>
          <w:rFonts w:ascii="Times New Roman" w:eastAsia="ＭＳ Ｐ明朝" w:hAnsi="Times New Roman"/>
          <w:sz w:val="22"/>
          <w:szCs w:val="22"/>
          <w:lang w:val="fr-CA"/>
        </w:rPr>
        <w:t>Bibliothèque nationale de la Diète</w:t>
      </w:r>
      <w:r w:rsidRPr="00B54015">
        <w:rPr>
          <w:rFonts w:ascii="Times New Roman" w:eastAsia="ＭＳ Ｐ明朝" w:hAnsi="Times New Roman"/>
          <w:b/>
          <w:sz w:val="22"/>
          <w:szCs w:val="22"/>
          <w:lang w:val="fr-CA"/>
        </w:rPr>
        <w:t xml:space="preserve">)  </w:t>
      </w:r>
    </w:p>
    <w:p w14:paraId="45E8F0FB" w14:textId="77777777" w:rsidR="001D3CEC" w:rsidRPr="00B54015" w:rsidRDefault="001D3CEC" w:rsidP="00B54015">
      <w:pPr>
        <w:spacing w:line="320" w:lineRule="exact"/>
        <w:jc w:val="both"/>
        <w:rPr>
          <w:rFonts w:ascii="Times New Roman" w:hAnsi="Times New Roman"/>
          <w:sz w:val="22"/>
          <w:szCs w:val="22"/>
          <w:lang w:val="fr-CA"/>
        </w:rPr>
      </w:pPr>
    </w:p>
    <w:p w14:paraId="14719F3C"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Les </w:t>
      </w:r>
      <w:r w:rsidRPr="00B54015">
        <w:rPr>
          <w:rFonts w:ascii="Times New Roman" w:hAnsi="Times New Roman"/>
          <w:i/>
          <w:sz w:val="22"/>
          <w:szCs w:val="22"/>
        </w:rPr>
        <w:t>chirimen-bon</w:t>
      </w:r>
      <w:r w:rsidRPr="00B54015">
        <w:rPr>
          <w:rFonts w:ascii="Times New Roman" w:hAnsi="Times New Roman"/>
          <w:sz w:val="22"/>
          <w:szCs w:val="22"/>
        </w:rPr>
        <w:t xml:space="preserve"> sont des livres japonais illustrés de gravures en couleurs, imprimés sur du papier crêpe</w:t>
      </w:r>
      <w:r w:rsidR="00B9335D">
        <w:rPr>
          <w:rFonts w:ascii="Times New Roman" w:hAnsi="Times New Roman"/>
          <w:sz w:val="22"/>
          <w:szCs w:val="22"/>
        </w:rPr>
        <w:t xml:space="preserve"> (ou crépon)</w:t>
      </w:r>
      <w:r w:rsidRPr="00B54015">
        <w:rPr>
          <w:rFonts w:ascii="Times New Roman" w:hAnsi="Times New Roman"/>
          <w:sz w:val="22"/>
          <w:szCs w:val="22"/>
        </w:rPr>
        <w:t>, dont le nom provient de leur ressemblance avec le crêpe de soie. Le papier crêpe fut fabriqué dès l’époque d’Edo et il servit à réaliser des estampes, des papiers</w:t>
      </w:r>
      <w:r w:rsidR="00B9335D">
        <w:rPr>
          <w:rFonts w:ascii="Times New Roman" w:hAnsi="Times New Roman"/>
          <w:sz w:val="22"/>
          <w:szCs w:val="22"/>
        </w:rPr>
        <w:t xml:space="preserve"> imprimés</w:t>
      </w:r>
      <w:r w:rsidRPr="00B54015">
        <w:rPr>
          <w:rFonts w:ascii="Times New Roman" w:hAnsi="Times New Roman"/>
          <w:sz w:val="22"/>
          <w:szCs w:val="22"/>
        </w:rPr>
        <w:t xml:space="preserve"> </w:t>
      </w:r>
      <w:proofErr w:type="spellStart"/>
      <w:r w:rsidRPr="00B54015">
        <w:rPr>
          <w:rFonts w:ascii="Times New Roman" w:hAnsi="Times New Roman"/>
          <w:i/>
          <w:sz w:val="22"/>
          <w:szCs w:val="22"/>
        </w:rPr>
        <w:t>chiyogami</w:t>
      </w:r>
      <w:proofErr w:type="spellEnd"/>
      <w:r w:rsidRPr="00B54015">
        <w:rPr>
          <w:rFonts w:ascii="Times New Roman" w:hAnsi="Times New Roman"/>
          <w:sz w:val="22"/>
          <w:szCs w:val="22"/>
        </w:rPr>
        <w:t xml:space="preserve"> ou des ornements pour les cheveux. Mais les </w:t>
      </w:r>
      <w:r w:rsidRPr="00B54015">
        <w:rPr>
          <w:rFonts w:ascii="Times New Roman" w:hAnsi="Times New Roman"/>
          <w:i/>
          <w:sz w:val="22"/>
          <w:szCs w:val="22"/>
        </w:rPr>
        <w:t>chirimen-bon</w:t>
      </w:r>
      <w:r w:rsidRPr="00B54015">
        <w:rPr>
          <w:rFonts w:ascii="Times New Roman" w:hAnsi="Times New Roman"/>
          <w:sz w:val="22"/>
          <w:szCs w:val="22"/>
        </w:rPr>
        <w:t xml:space="preserve"> ne sont apparus qu’au milieu de l’ère Meiji, après l’importation des livres occidentaux, grâce à l’invention de Hasegawa Takejirô (1853-1938), qui commença à publier à cette époque.</w:t>
      </w:r>
    </w:p>
    <w:p w14:paraId="65F6704D" w14:textId="77777777" w:rsidR="001D3CEC" w:rsidRPr="00B54015" w:rsidRDefault="001D3CEC"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Quand la maison d’édition de Hasegawa, Kôbunsha, commença à publier </w:t>
      </w:r>
      <w:r w:rsidRPr="00B54015">
        <w:rPr>
          <w:rFonts w:ascii="Times New Roman" w:hAnsi="Times New Roman"/>
          <w:i/>
          <w:sz w:val="22"/>
          <w:szCs w:val="22"/>
        </w:rPr>
        <w:t>Les contes du vieux Japon</w:t>
      </w:r>
      <w:r w:rsidRPr="00B54015">
        <w:rPr>
          <w:rFonts w:ascii="Times New Roman" w:hAnsi="Times New Roman"/>
          <w:sz w:val="22"/>
          <w:szCs w:val="22"/>
        </w:rPr>
        <w:t xml:space="preserve"> sur papier crêpe en 1885, des versions en anglais, en allemand et en français existaient déjà. Cette collection parut finalement en 9 langues. Les versions anglaises furent traduites par Basil Hall Chamberlain, James Curtis Hepburn et Lafcadio Hearn, et les versions françaises par le diplomate Joseph Dautremer et Jules Adam. Les illustrations furent réalisées par des artistes japonais comme Kobayashi Eitaku, Suzuki Kason et Arai Yoshimune.</w:t>
      </w:r>
    </w:p>
    <w:p w14:paraId="3A3F19F5" w14:textId="77777777" w:rsidR="001D3CEC" w:rsidRPr="00B54015" w:rsidRDefault="001D3CEC" w:rsidP="00B54015">
      <w:pPr>
        <w:spacing w:line="320" w:lineRule="exact"/>
        <w:ind w:firstLineChars="100" w:firstLine="220"/>
        <w:jc w:val="both"/>
        <w:rPr>
          <w:rFonts w:ascii="Times New Roman" w:hAnsi="Times New Roman"/>
          <w:sz w:val="22"/>
          <w:szCs w:val="22"/>
          <w:lang w:val="fr-CA"/>
        </w:rPr>
      </w:pPr>
      <w:r w:rsidRPr="00B54015">
        <w:rPr>
          <w:rFonts w:ascii="Times New Roman" w:hAnsi="Times New Roman"/>
          <w:sz w:val="22"/>
          <w:szCs w:val="22"/>
        </w:rPr>
        <w:t xml:space="preserve">Kobayashi lança la vente de ses ouvrages au Japon, mais il les exporta aussi à l’étranger, par le biais de la maison d’édition Kelly &amp; Wash de Yokohama, dont le siège se trouvait à Shanghai. C’est la première fois qu’une maison d’édition japonaise collaborait avec une maison étrangère. Par la suite, Hasegawa continua de publier en collaboration avec des maisons d’éditions de différents pays, et il présenta même ses livres à l’Exposition universelle de Paris en 1900 et reçu un prix. Les livres en papier crêpe de Hasegawa trouvèrent faveur auprès du public occidental entre 1880 et 1920 et exercèrent une influence sur le monde de l’édition. Notons par exemple les </w:t>
      </w:r>
      <w:r w:rsidRPr="00B54015">
        <w:rPr>
          <w:rFonts w:ascii="Times New Roman" w:hAnsi="Times New Roman"/>
          <w:i/>
          <w:sz w:val="22"/>
          <w:szCs w:val="22"/>
        </w:rPr>
        <w:t>chirimen-bon</w:t>
      </w:r>
      <w:r w:rsidRPr="00B54015">
        <w:rPr>
          <w:rFonts w:ascii="Times New Roman" w:hAnsi="Times New Roman"/>
          <w:sz w:val="22"/>
          <w:szCs w:val="22"/>
        </w:rPr>
        <w:t xml:space="preserve"> illustrés par Kawanabe Kyôsui à la demande du collectionneur français Pierre Barboutau qui résida au Japon, ou les </w:t>
      </w:r>
      <w:r w:rsidRPr="00B54015">
        <w:rPr>
          <w:rFonts w:ascii="Times New Roman" w:hAnsi="Times New Roman"/>
          <w:i/>
          <w:sz w:val="22"/>
          <w:szCs w:val="22"/>
        </w:rPr>
        <w:t>Choix de fables</w:t>
      </w:r>
      <w:r w:rsidRPr="00B54015">
        <w:rPr>
          <w:rFonts w:ascii="Times New Roman" w:hAnsi="Times New Roman"/>
          <w:sz w:val="22"/>
          <w:szCs w:val="22"/>
        </w:rPr>
        <w:t xml:space="preserve"> (1894), qui furent publiés pour les amateurs français. </w:t>
      </w:r>
    </w:p>
    <w:p w14:paraId="21D399A2" w14:textId="77777777" w:rsidR="001D3CEC" w:rsidRPr="00B54015" w:rsidRDefault="001D3CEC" w:rsidP="00B54015">
      <w:pPr>
        <w:spacing w:line="320" w:lineRule="exact"/>
        <w:jc w:val="both"/>
        <w:rPr>
          <w:rFonts w:ascii="Times New Roman" w:hAnsi="Times New Roman"/>
          <w:sz w:val="22"/>
          <w:szCs w:val="22"/>
          <w:lang w:val="fr-CA"/>
        </w:rPr>
      </w:pPr>
    </w:p>
    <w:p w14:paraId="4DB99638" w14:textId="77777777"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Bibliographie</w:t>
      </w:r>
    </w:p>
    <w:p w14:paraId="63C4CF4A"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Ishizawa Sayoko, </w:t>
      </w:r>
      <w:r w:rsidRPr="00B54015">
        <w:rPr>
          <w:rFonts w:ascii="Times New Roman" w:hAnsi="Times New Roman"/>
          <w:i/>
          <w:sz w:val="22"/>
          <w:szCs w:val="22"/>
        </w:rPr>
        <w:t>Tout sur le</w:t>
      </w:r>
      <w:r w:rsidR="00B9335D">
        <w:rPr>
          <w:rFonts w:ascii="Times New Roman" w:hAnsi="Times New Roman"/>
          <w:i/>
          <w:sz w:val="22"/>
          <w:szCs w:val="22"/>
        </w:rPr>
        <w:t>s</w:t>
      </w:r>
      <w:r w:rsidRPr="00B54015">
        <w:rPr>
          <w:rFonts w:ascii="Times New Roman" w:hAnsi="Times New Roman"/>
          <w:i/>
          <w:sz w:val="22"/>
          <w:szCs w:val="22"/>
        </w:rPr>
        <w:t xml:space="preserve"> chirimen-bon</w:t>
      </w:r>
      <w:r w:rsidRPr="00B54015">
        <w:rPr>
          <w:rFonts w:ascii="Times New Roman" w:hAnsi="Times New Roman"/>
          <w:sz w:val="22"/>
          <w:szCs w:val="22"/>
        </w:rPr>
        <w:t>, Tokyo, Miyai shoten, 2004</w:t>
      </w:r>
    </w:p>
    <w:p w14:paraId="105127C5"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Takayama Aki, </w:t>
      </w:r>
      <w:r w:rsidRPr="00B54015">
        <w:rPr>
          <w:rFonts w:ascii="Times New Roman" w:hAnsi="Times New Roman"/>
          <w:i/>
          <w:sz w:val="22"/>
          <w:szCs w:val="22"/>
        </w:rPr>
        <w:t>Pierre Barboutau : un orientaliste méconnu</w:t>
      </w:r>
      <w:r w:rsidRPr="00B54015">
        <w:rPr>
          <w:rFonts w:ascii="Times New Roman" w:hAnsi="Times New Roman"/>
          <w:sz w:val="22"/>
          <w:szCs w:val="22"/>
        </w:rPr>
        <w:t>, Tokyo, Presses universitaires de Keio, 2008</w:t>
      </w:r>
    </w:p>
    <w:p w14:paraId="146F7AE6" w14:textId="77777777" w:rsidR="001D3CEC" w:rsidRPr="00B54015" w:rsidRDefault="001D3CEC" w:rsidP="00B54015">
      <w:pPr>
        <w:spacing w:line="320" w:lineRule="exact"/>
        <w:jc w:val="both"/>
        <w:rPr>
          <w:rFonts w:ascii="Times New Roman" w:hAnsi="Times New Roman"/>
          <w:sz w:val="22"/>
          <w:szCs w:val="22"/>
          <w:lang w:val="en-US"/>
        </w:rPr>
      </w:pPr>
      <w:r w:rsidRPr="00B54015">
        <w:rPr>
          <w:rFonts w:ascii="Times New Roman" w:hAnsi="Times New Roman"/>
          <w:sz w:val="22"/>
          <w:szCs w:val="22"/>
          <w:lang w:val="en-US"/>
        </w:rPr>
        <w:t xml:space="preserve">Frederic A. </w:t>
      </w:r>
      <w:proofErr w:type="spellStart"/>
      <w:r w:rsidRPr="00B54015">
        <w:rPr>
          <w:rFonts w:ascii="Times New Roman" w:hAnsi="Times New Roman"/>
          <w:sz w:val="22"/>
          <w:szCs w:val="22"/>
          <w:lang w:val="en-US"/>
        </w:rPr>
        <w:t>Sharf</w:t>
      </w:r>
      <w:proofErr w:type="spellEnd"/>
      <w:r w:rsidRPr="00B54015">
        <w:rPr>
          <w:rFonts w:ascii="Times New Roman" w:hAnsi="Times New Roman"/>
          <w:sz w:val="22"/>
          <w:szCs w:val="22"/>
          <w:lang w:val="en-US"/>
        </w:rPr>
        <w:t xml:space="preserve">, </w:t>
      </w:r>
      <w:proofErr w:type="spellStart"/>
      <w:r w:rsidRPr="00B54015">
        <w:rPr>
          <w:rFonts w:ascii="Times New Roman" w:hAnsi="Times New Roman"/>
          <w:i/>
          <w:sz w:val="22"/>
          <w:szCs w:val="22"/>
          <w:lang w:val="en-US"/>
        </w:rPr>
        <w:t>Takejiro</w:t>
      </w:r>
      <w:proofErr w:type="spellEnd"/>
      <w:r w:rsidRPr="00B54015">
        <w:rPr>
          <w:rFonts w:ascii="Times New Roman" w:hAnsi="Times New Roman"/>
          <w:i/>
          <w:sz w:val="22"/>
          <w:szCs w:val="22"/>
          <w:lang w:val="en-US"/>
        </w:rPr>
        <w:t xml:space="preserve"> </w:t>
      </w:r>
      <w:proofErr w:type="gramStart"/>
      <w:r w:rsidRPr="00B54015">
        <w:rPr>
          <w:rFonts w:ascii="Times New Roman" w:hAnsi="Times New Roman"/>
          <w:i/>
          <w:sz w:val="22"/>
          <w:szCs w:val="22"/>
          <w:lang w:val="en-US"/>
        </w:rPr>
        <w:t>Hasegawa :</w:t>
      </w:r>
      <w:proofErr w:type="gramEnd"/>
      <w:r w:rsidRPr="00B54015">
        <w:rPr>
          <w:rFonts w:ascii="Times New Roman" w:hAnsi="Times New Roman"/>
          <w:i/>
          <w:sz w:val="22"/>
          <w:szCs w:val="22"/>
          <w:lang w:val="en-US"/>
        </w:rPr>
        <w:t xml:space="preserve"> Meiji Japan’s preeminent publisher of wood-block-illustrated crepe-paper books</w:t>
      </w:r>
      <w:r w:rsidRPr="00B54015">
        <w:rPr>
          <w:rFonts w:ascii="Times New Roman" w:hAnsi="Times New Roman"/>
          <w:sz w:val="22"/>
          <w:szCs w:val="22"/>
          <w:lang w:val="en-US"/>
        </w:rPr>
        <w:t>, Salem, Peabody Essex Museum, 1994</w:t>
      </w:r>
    </w:p>
    <w:p w14:paraId="13CA843A" w14:textId="77777777" w:rsidR="001D3CEC" w:rsidRPr="00B54015" w:rsidRDefault="001D3CEC" w:rsidP="00B54015">
      <w:pPr>
        <w:spacing w:line="320" w:lineRule="exact"/>
        <w:jc w:val="both"/>
        <w:rPr>
          <w:rFonts w:ascii="Times New Roman" w:hAnsi="Times New Roman"/>
          <w:sz w:val="22"/>
          <w:szCs w:val="22"/>
          <w:lang w:val="en-US"/>
        </w:rPr>
      </w:pPr>
    </w:p>
    <w:p w14:paraId="5B3F6129" w14:textId="77777777"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297F55A9" w14:textId="0B058B7C"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Bibliothécaire en chef de la section des acquisitions et de la préservation du matériel à la bibliothèque nationale de la Diète, chargée de cours à la faculté des lettres de l’université Tôyô. Diplômée de fin d’études de deuxième cycle </w:t>
      </w:r>
      <w:r w:rsidR="00B9335D">
        <w:rPr>
          <w:rFonts w:ascii="Times New Roman" w:hAnsi="Times New Roman"/>
          <w:sz w:val="22"/>
          <w:szCs w:val="22"/>
        </w:rPr>
        <w:t>de</w:t>
      </w:r>
      <w:r w:rsidRPr="00B54015">
        <w:rPr>
          <w:rFonts w:ascii="Times New Roman" w:hAnsi="Times New Roman"/>
          <w:sz w:val="22"/>
          <w:szCs w:val="22"/>
        </w:rPr>
        <w:t xml:space="preserve"> l’université Nihon dans la section des études sociales et culturelles. Sa spécialité est l’étude comparative des cultures. Essais concernant Hasegawa Takejirô :</w:t>
      </w:r>
    </w:p>
    <w:p w14:paraId="1506003A" w14:textId="0C0509ED"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Otsuka Nanae, « Terakoya : les publications de Hasegawa </w:t>
      </w:r>
      <w:proofErr w:type="spellStart"/>
      <w:r w:rsidRPr="00B54015">
        <w:rPr>
          <w:rFonts w:ascii="Times New Roman" w:hAnsi="Times New Roman"/>
          <w:sz w:val="22"/>
          <w:szCs w:val="22"/>
        </w:rPr>
        <w:t>Takejirô</w:t>
      </w:r>
      <w:proofErr w:type="spellEnd"/>
      <w:r w:rsidRPr="00B54015">
        <w:rPr>
          <w:rFonts w:ascii="Times New Roman" w:hAnsi="Times New Roman"/>
          <w:sz w:val="22"/>
          <w:szCs w:val="22"/>
        </w:rPr>
        <w:t xml:space="preserve"> qui ont répandu l’image du « Japon » dans le monde », </w:t>
      </w:r>
      <w:r w:rsidRPr="00B54015">
        <w:rPr>
          <w:rFonts w:ascii="Times New Roman" w:hAnsi="Times New Roman"/>
          <w:i/>
          <w:sz w:val="22"/>
          <w:szCs w:val="22"/>
        </w:rPr>
        <w:t>Kokuritsu kokkai toshokan geppô</w:t>
      </w:r>
      <w:r w:rsidRPr="00B54015">
        <w:rPr>
          <w:rFonts w:ascii="Times New Roman" w:hAnsi="Times New Roman"/>
          <w:sz w:val="22"/>
          <w:szCs w:val="22"/>
        </w:rPr>
        <w:t xml:space="preserve">, </w:t>
      </w:r>
      <w:r w:rsidR="00B9335D">
        <w:rPr>
          <w:rFonts w:ascii="Times New Roman" w:hAnsi="Times New Roman"/>
          <w:sz w:val="22"/>
          <w:szCs w:val="22"/>
        </w:rPr>
        <w:t>n°</w:t>
      </w:r>
      <w:r w:rsidR="00B9335D" w:rsidRPr="00B54015">
        <w:rPr>
          <w:rFonts w:ascii="Times New Roman" w:hAnsi="Times New Roman"/>
          <w:sz w:val="22"/>
          <w:szCs w:val="22"/>
        </w:rPr>
        <w:t xml:space="preserve"> </w:t>
      </w:r>
      <w:r w:rsidRPr="00B54015">
        <w:rPr>
          <w:rFonts w:ascii="Times New Roman" w:hAnsi="Times New Roman"/>
          <w:sz w:val="22"/>
          <w:szCs w:val="22"/>
        </w:rPr>
        <w:t>604-605, Tokyo, juillet-août 2011, p. 4-17</w:t>
      </w:r>
    </w:p>
    <w:p w14:paraId="22435DA8" w14:textId="77777777" w:rsidR="001D3CEC" w:rsidRPr="00B54015" w:rsidRDefault="001D3CEC" w:rsidP="00B54015">
      <w:pPr>
        <w:spacing w:line="320" w:lineRule="exact"/>
        <w:jc w:val="both"/>
        <w:rPr>
          <w:rFonts w:ascii="Times New Roman" w:hAnsi="Times New Roman"/>
          <w:sz w:val="22"/>
          <w:szCs w:val="22"/>
        </w:rPr>
      </w:pPr>
      <w:r w:rsidRPr="00B54015">
        <w:rPr>
          <w:rFonts w:ascii="Times New Roman" w:hAnsi="Times New Roman"/>
          <w:sz w:val="22"/>
          <w:szCs w:val="22"/>
        </w:rPr>
        <w:t>(</w:t>
      </w:r>
      <w:hyperlink r:id="rId7" w:history="1">
        <w:r w:rsidRPr="00B54015">
          <w:rPr>
            <w:rStyle w:val="a3"/>
            <w:rFonts w:ascii="Times New Roman" w:hAnsi="Times New Roman"/>
            <w:sz w:val="22"/>
            <w:szCs w:val="22"/>
          </w:rPr>
          <w:t>http://dl.ndl.go.jp/view/download/digidepo_3050795_po_geppo1108.pdf?contentNo=1</w:t>
        </w:r>
      </w:hyperlink>
      <w:r w:rsidRPr="00B54015">
        <w:rPr>
          <w:rFonts w:ascii="Times New Roman" w:hAnsi="Times New Roman"/>
          <w:sz w:val="22"/>
          <w:szCs w:val="22"/>
        </w:rPr>
        <w:t>)</w:t>
      </w:r>
    </w:p>
    <w:p w14:paraId="0D6CAC6F" w14:textId="385A8BDC" w:rsidR="001D3CEC" w:rsidRPr="00B54015" w:rsidRDefault="001D3CEC" w:rsidP="00B54015">
      <w:pPr>
        <w:spacing w:line="320" w:lineRule="exact"/>
        <w:jc w:val="both"/>
        <w:rPr>
          <w:rFonts w:ascii="Times New Roman" w:hAnsi="Times New Roman"/>
          <w:sz w:val="22"/>
          <w:szCs w:val="22"/>
          <w:lang w:eastAsia="ja-JP"/>
        </w:rPr>
      </w:pPr>
      <w:r w:rsidRPr="00B54015">
        <w:rPr>
          <w:rFonts w:ascii="Times New Roman" w:hAnsi="Times New Roman"/>
          <w:sz w:val="22"/>
          <w:szCs w:val="22"/>
        </w:rPr>
        <w:t xml:space="preserve">Otsuka Nanae, « L’impact du livre xylographique illustré </w:t>
      </w:r>
      <w:r w:rsidRPr="00B54015">
        <w:rPr>
          <w:rFonts w:ascii="Times New Roman" w:hAnsi="Times New Roman"/>
          <w:i/>
          <w:sz w:val="22"/>
          <w:szCs w:val="22"/>
        </w:rPr>
        <w:t>Terakoya</w:t>
      </w:r>
      <w:r w:rsidRPr="00B54015">
        <w:rPr>
          <w:rFonts w:ascii="Times New Roman" w:hAnsi="Times New Roman"/>
          <w:sz w:val="22"/>
          <w:szCs w:val="22"/>
        </w:rPr>
        <w:t xml:space="preserve"> présenté à l’Exposition universelle de Paris en 1900 », </w:t>
      </w:r>
      <w:r w:rsidRPr="00B54015">
        <w:rPr>
          <w:rFonts w:ascii="Times New Roman" w:hAnsi="Times New Roman"/>
          <w:i/>
          <w:sz w:val="22"/>
          <w:szCs w:val="22"/>
        </w:rPr>
        <w:t>Nihon daigaku daigakuin sôgô shakai jôhô kenkyûka kiyô</w:t>
      </w:r>
      <w:r w:rsidRPr="00B54015">
        <w:rPr>
          <w:rFonts w:ascii="Times New Roman" w:hAnsi="Times New Roman"/>
          <w:sz w:val="22"/>
          <w:szCs w:val="22"/>
        </w:rPr>
        <w:t xml:space="preserve">, </w:t>
      </w:r>
      <w:r w:rsidR="00B9335D">
        <w:rPr>
          <w:rFonts w:ascii="Times New Roman" w:hAnsi="Times New Roman"/>
          <w:sz w:val="22"/>
          <w:szCs w:val="22"/>
        </w:rPr>
        <w:t>n°</w:t>
      </w:r>
      <w:r w:rsidR="00B9335D" w:rsidRPr="00B54015">
        <w:rPr>
          <w:rFonts w:ascii="Times New Roman" w:hAnsi="Times New Roman"/>
          <w:sz w:val="22"/>
          <w:szCs w:val="22"/>
        </w:rPr>
        <w:t xml:space="preserve"> </w:t>
      </w:r>
      <w:r w:rsidRPr="00B54015">
        <w:rPr>
          <w:rFonts w:ascii="Times New Roman" w:hAnsi="Times New Roman"/>
          <w:sz w:val="22"/>
          <w:szCs w:val="22"/>
        </w:rPr>
        <w:t>14, Tokyo, 2013, p. 13-19</w:t>
      </w:r>
      <w:r w:rsidR="00B54015">
        <w:rPr>
          <w:rFonts w:ascii="Times New Roman" w:hAnsi="Times New Roman" w:hint="eastAsia"/>
          <w:sz w:val="22"/>
          <w:szCs w:val="22"/>
          <w:lang w:eastAsia="ja-JP"/>
        </w:rPr>
        <w:t xml:space="preserve"> </w:t>
      </w:r>
      <w:proofErr w:type="gramStart"/>
      <w:r w:rsidRPr="00B54015">
        <w:rPr>
          <w:rFonts w:ascii="Times New Roman" w:hAnsi="Times New Roman"/>
          <w:sz w:val="22"/>
          <w:szCs w:val="22"/>
        </w:rPr>
        <w:t xml:space="preserve">( </w:t>
      </w:r>
      <w:proofErr w:type="gramEnd"/>
      <w:hyperlink r:id="rId8" w:history="1">
        <w:r w:rsidRPr="00B54015">
          <w:rPr>
            <w:rStyle w:val="a3"/>
            <w:rFonts w:ascii="Times New Roman" w:hAnsi="Times New Roman"/>
            <w:sz w:val="22"/>
            <w:szCs w:val="22"/>
          </w:rPr>
          <w:t>http://atlantic2.gssc.nihon-u.ac.jp/kiyou/pdf14/14-013-019-Otsuka.pdf</w:t>
        </w:r>
      </w:hyperlink>
      <w:r w:rsidRPr="00B54015">
        <w:rPr>
          <w:rFonts w:ascii="Times New Roman" w:hAnsi="Times New Roman"/>
          <w:sz w:val="22"/>
          <w:szCs w:val="22"/>
        </w:rPr>
        <w:t xml:space="preserve"> )</w:t>
      </w:r>
      <w:r w:rsidRPr="00B54015">
        <w:rPr>
          <w:rFonts w:ascii="Times New Roman" w:hAnsi="Times New Roman"/>
          <w:sz w:val="22"/>
          <w:szCs w:val="22"/>
          <w:lang w:eastAsia="ja-JP"/>
        </w:rPr>
        <w:br w:type="page"/>
      </w:r>
    </w:p>
    <w:p w14:paraId="1D1FCCDB" w14:textId="04B44AB2" w:rsidR="001D3CEC" w:rsidRPr="00B54015" w:rsidRDefault="001D3CEC" w:rsidP="00B54015">
      <w:pPr>
        <w:spacing w:line="320" w:lineRule="exact"/>
        <w:jc w:val="both"/>
        <w:rPr>
          <w:rFonts w:ascii="Times New Roman" w:hAnsi="Times New Roman"/>
          <w:b/>
          <w:sz w:val="22"/>
          <w:szCs w:val="22"/>
        </w:rPr>
      </w:pPr>
      <w:r w:rsidRPr="00B54015">
        <w:rPr>
          <w:rFonts w:ascii="Times New Roman" w:hAnsi="Times New Roman"/>
          <w:b/>
          <w:sz w:val="22"/>
          <w:szCs w:val="22"/>
        </w:rPr>
        <w:t>Autour du travail de Foujita</w:t>
      </w:r>
      <w:r w:rsidR="00B9335D">
        <w:rPr>
          <w:rFonts w:ascii="Times New Roman" w:hAnsi="Times New Roman"/>
          <w:b/>
          <w:sz w:val="22"/>
          <w:szCs w:val="22"/>
        </w:rPr>
        <w:t xml:space="preserve"> </w:t>
      </w:r>
      <w:r w:rsidRPr="00B54015">
        <w:rPr>
          <w:rFonts w:ascii="Times New Roman" w:hAnsi="Times New Roman"/>
          <w:b/>
          <w:sz w:val="22"/>
          <w:szCs w:val="22"/>
        </w:rPr>
        <w:t xml:space="preserve">: la fusion entre les cultures </w:t>
      </w:r>
      <w:r w:rsidR="00B9335D">
        <w:rPr>
          <w:rFonts w:ascii="Times New Roman" w:hAnsi="Times New Roman"/>
          <w:b/>
          <w:sz w:val="22"/>
          <w:szCs w:val="22"/>
        </w:rPr>
        <w:t>é</w:t>
      </w:r>
      <w:r w:rsidRPr="00B54015">
        <w:rPr>
          <w:rFonts w:ascii="Times New Roman" w:hAnsi="Times New Roman"/>
          <w:b/>
          <w:sz w:val="22"/>
          <w:szCs w:val="22"/>
        </w:rPr>
        <w:t>ditoriales françaises et japonaises</w:t>
      </w:r>
    </w:p>
    <w:p w14:paraId="6802BFAE" w14:textId="77777777" w:rsidR="001D3CEC" w:rsidRPr="00B54015" w:rsidRDefault="001D3CEC" w:rsidP="00B54015">
      <w:pPr>
        <w:spacing w:line="320" w:lineRule="exact"/>
        <w:jc w:val="both"/>
        <w:rPr>
          <w:rFonts w:ascii="Times New Roman" w:hAnsi="Times New Roman"/>
          <w:b/>
          <w:sz w:val="22"/>
          <w:szCs w:val="22"/>
          <w:lang w:val="en-US"/>
        </w:rPr>
      </w:pPr>
      <w:r w:rsidRPr="00B54015">
        <w:rPr>
          <w:rFonts w:ascii="Times New Roman" w:hAnsi="Times New Roman"/>
          <w:b/>
          <w:sz w:val="22"/>
          <w:szCs w:val="22"/>
          <w:lang w:val="en-US"/>
        </w:rPr>
        <w:t>HAYASHI Yoko</w:t>
      </w:r>
      <w:r w:rsidR="000C3DA7" w:rsidRPr="00B54015">
        <w:rPr>
          <w:rFonts w:ascii="Times New Roman" w:hAnsi="Times New Roman"/>
          <w:b/>
          <w:sz w:val="22"/>
          <w:szCs w:val="22"/>
          <w:lang w:val="en-US"/>
        </w:rPr>
        <w:t xml:space="preserve"> (</w:t>
      </w:r>
      <w:r w:rsidR="00B54015" w:rsidRPr="00B54015">
        <w:rPr>
          <w:rFonts w:ascii="Times New Roman" w:hAnsi="Times New Roman"/>
          <w:sz w:val="22"/>
          <w:szCs w:val="22"/>
          <w:lang w:val="en-US"/>
        </w:rPr>
        <w:t>Kyoto University of Art &amp; Design</w:t>
      </w:r>
      <w:r w:rsidR="000C3DA7" w:rsidRPr="00B54015">
        <w:rPr>
          <w:rFonts w:ascii="Times New Roman" w:hAnsi="Times New Roman"/>
          <w:b/>
          <w:sz w:val="22"/>
          <w:szCs w:val="22"/>
          <w:lang w:val="en-US"/>
        </w:rPr>
        <w:t>)</w:t>
      </w:r>
    </w:p>
    <w:p w14:paraId="4C80530C" w14:textId="77777777" w:rsidR="00B54015" w:rsidRPr="00B54015" w:rsidRDefault="00B54015" w:rsidP="00B54015">
      <w:pPr>
        <w:spacing w:line="320" w:lineRule="exact"/>
        <w:jc w:val="both"/>
        <w:rPr>
          <w:rFonts w:ascii="Times New Roman" w:hAnsi="Times New Roman"/>
          <w:sz w:val="22"/>
          <w:szCs w:val="22"/>
          <w:lang w:val="en-US"/>
        </w:rPr>
      </w:pPr>
    </w:p>
    <w:p w14:paraId="71FECF38" w14:textId="1ABE176A" w:rsidR="00B54015" w:rsidRPr="00B54015" w:rsidRDefault="00B54015"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Le peintre Foujita Tsuguharu (1886-1968) débarque pour la première fois en France en août 1913. Il ne remettra les pieds au Japon qu’à l’automne 1929. Alors que ses oeuvres, dont le « grand fond blanc » est la principale caractéristique, trouvent la faveur auprès du public des salons et sur le marché de l’art dans les années 1920, il prend en même temps part au travail d’illustration de plus d’une trentaine de livres. Ce sont </w:t>
      </w:r>
      <w:r w:rsidR="00B9335D">
        <w:rPr>
          <w:rFonts w:ascii="Times New Roman" w:hAnsi="Times New Roman"/>
          <w:sz w:val="22"/>
          <w:szCs w:val="22"/>
        </w:rPr>
        <w:t>par leur</w:t>
      </w:r>
      <w:r w:rsidRPr="00B54015">
        <w:rPr>
          <w:rFonts w:ascii="Times New Roman" w:hAnsi="Times New Roman"/>
          <w:sz w:val="22"/>
          <w:szCs w:val="22"/>
        </w:rPr>
        <w:t xml:space="preserve"> style des ouvrages occidentaux. Or, la publication des livres dont le thème porte sur le Japon s’étant multipliée dans les années 1920, Foujita accumule les offres d’illustration de ces ouvrages. La première occasion se présente avec </w:t>
      </w:r>
      <w:r w:rsidRPr="00B54015">
        <w:rPr>
          <w:rFonts w:ascii="Times New Roman" w:hAnsi="Times New Roman"/>
          <w:i/>
          <w:sz w:val="22"/>
          <w:szCs w:val="22"/>
        </w:rPr>
        <w:t>Légendes japonaises</w:t>
      </w:r>
      <w:r w:rsidRPr="00B54015">
        <w:rPr>
          <w:rFonts w:ascii="Times New Roman" w:hAnsi="Times New Roman"/>
          <w:sz w:val="22"/>
          <w:szCs w:val="22"/>
        </w:rPr>
        <w:t>, publié en 1923. Cet ouvrage, dont une version traduite existait déjà en français et en d’autres langues occidentales, regroupe plusieurs contes. Foujita illustre entre autre trois ouvrages de Paul Claudel, écrits pendant son séjour au Japon en tant qu’ambassadeur de France (</w:t>
      </w:r>
      <w:r w:rsidR="00B9335D">
        <w:rPr>
          <w:rFonts w:ascii="Times New Roman" w:hAnsi="Times New Roman"/>
          <w:sz w:val="22"/>
          <w:szCs w:val="22"/>
        </w:rPr>
        <w:t xml:space="preserve">dont </w:t>
      </w:r>
      <w:r w:rsidRPr="00B54015">
        <w:rPr>
          <w:rFonts w:ascii="Times New Roman" w:hAnsi="Times New Roman"/>
          <w:i/>
          <w:sz w:val="22"/>
          <w:szCs w:val="22"/>
        </w:rPr>
        <w:t>Connaissance de l’Est</w:t>
      </w:r>
      <w:r w:rsidR="00B9335D">
        <w:rPr>
          <w:rFonts w:ascii="Times New Roman" w:hAnsi="Times New Roman"/>
          <w:sz w:val="22"/>
          <w:szCs w:val="22"/>
        </w:rPr>
        <w:t xml:space="preserve">, </w:t>
      </w:r>
      <w:r w:rsidRPr="00B54015">
        <w:rPr>
          <w:rFonts w:ascii="Times New Roman" w:hAnsi="Times New Roman"/>
          <w:sz w:val="22"/>
          <w:szCs w:val="22"/>
        </w:rPr>
        <w:t>1925,</w:t>
      </w:r>
      <w:r w:rsidR="00B9335D">
        <w:rPr>
          <w:rFonts w:ascii="Times New Roman" w:hAnsi="Times New Roman"/>
          <w:sz w:val="22"/>
          <w:szCs w:val="22"/>
        </w:rPr>
        <w:t xml:space="preserve"> et</w:t>
      </w:r>
      <w:r w:rsidRPr="00B54015">
        <w:rPr>
          <w:rFonts w:ascii="Times New Roman" w:hAnsi="Times New Roman"/>
          <w:sz w:val="22"/>
          <w:szCs w:val="22"/>
        </w:rPr>
        <w:t xml:space="preserve"> </w:t>
      </w:r>
      <w:r w:rsidRPr="00B54015">
        <w:rPr>
          <w:rFonts w:ascii="Times New Roman" w:hAnsi="Times New Roman"/>
          <w:i/>
          <w:sz w:val="22"/>
          <w:szCs w:val="22"/>
        </w:rPr>
        <w:t>L’Oiseau noir dans le soleil levant</w:t>
      </w:r>
      <w:r w:rsidR="00B9335D">
        <w:rPr>
          <w:rFonts w:ascii="Times New Roman" w:hAnsi="Times New Roman"/>
          <w:sz w:val="22"/>
          <w:szCs w:val="22"/>
        </w:rPr>
        <w:t xml:space="preserve">, </w:t>
      </w:r>
      <w:r w:rsidRPr="00B54015">
        <w:rPr>
          <w:rFonts w:ascii="Times New Roman" w:hAnsi="Times New Roman"/>
          <w:sz w:val="22"/>
          <w:szCs w:val="22"/>
        </w:rPr>
        <w:t xml:space="preserve">1927), les romans japonistes de Pierre Loti et de Thomas Raucat, des brochures de tourisme, ainsi que des traductions. La forme de ces livres suit fidèlement le modèle des livres illustrés européens, et Foujita y introduits des dessins représentant des scènes de vie japonaises au fil du texte. Ils consistent en des gravures sur bois ou sur cuivre, ou en des impressions au pochoir, en tirage limité. </w:t>
      </w:r>
    </w:p>
    <w:p w14:paraId="57608BB5" w14:textId="7596E021" w:rsidR="00B54015" w:rsidRPr="00B54015" w:rsidRDefault="00B54015"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Alors même qu’une dizaine d’années s’étaient d’ors et déjà écoulée</w:t>
      </w:r>
      <w:r w:rsidR="00867FC7">
        <w:rPr>
          <w:rFonts w:ascii="Times New Roman" w:hAnsi="Times New Roman"/>
          <w:sz w:val="22"/>
          <w:szCs w:val="22"/>
        </w:rPr>
        <w:t>s</w:t>
      </w:r>
      <w:r w:rsidRPr="00B54015">
        <w:rPr>
          <w:rFonts w:ascii="Times New Roman" w:hAnsi="Times New Roman"/>
          <w:sz w:val="22"/>
          <w:szCs w:val="22"/>
        </w:rPr>
        <w:t xml:space="preserve"> depuis son arrivée en France, Foujita a pu dessiner des images du Japon, grâce à l’accumulation importante de livres illustrés de l’époque d’Edo et de Meiji depuis la seconde moitié du </w:t>
      </w:r>
      <w:r w:rsidR="00867FC7">
        <w:rPr>
          <w:rFonts w:ascii="Times New Roman" w:hAnsi="Times New Roman"/>
          <w:sz w:val="22"/>
          <w:szCs w:val="22"/>
        </w:rPr>
        <w:t>XIX</w:t>
      </w:r>
      <w:r w:rsidRPr="00B54015">
        <w:rPr>
          <w:rFonts w:ascii="Times New Roman" w:hAnsi="Times New Roman"/>
          <w:sz w:val="22"/>
          <w:szCs w:val="22"/>
          <w:vertAlign w:val="superscript"/>
        </w:rPr>
        <w:t>e</w:t>
      </w:r>
      <w:r w:rsidRPr="00B54015">
        <w:rPr>
          <w:rFonts w:ascii="Times New Roman" w:hAnsi="Times New Roman"/>
          <w:sz w:val="22"/>
          <w:szCs w:val="22"/>
        </w:rPr>
        <w:t xml:space="preserve"> siècle à Paris, cette « ville du japonisme », livres sans lesquels il n’aurait pu poursuivre son travail. Dans cet exposé, nous examinerons par le biais des réseaux de l’auteur, des éditeurs, des artisans imprimeurs, et des bibliophiles, l’arrière-plan des œuvres que Foujita a pu réaliser en unifiant les cultures éditoriales franco-japonaises, dans le Paris de l’entre-deux-guerres. </w:t>
      </w:r>
    </w:p>
    <w:p w14:paraId="2DDC7C0B" w14:textId="77777777" w:rsidR="00B54015" w:rsidRPr="00B54015" w:rsidRDefault="00B54015" w:rsidP="00B54015">
      <w:pPr>
        <w:spacing w:line="320" w:lineRule="exact"/>
        <w:jc w:val="both"/>
        <w:rPr>
          <w:rFonts w:ascii="Times New Roman" w:hAnsi="Times New Roman"/>
          <w:sz w:val="22"/>
          <w:szCs w:val="22"/>
        </w:rPr>
      </w:pPr>
    </w:p>
    <w:p w14:paraId="7E8F6AF0" w14:textId="77777777" w:rsidR="00B54015" w:rsidRPr="00B54015" w:rsidRDefault="00B54015" w:rsidP="00B54015">
      <w:pPr>
        <w:spacing w:line="320" w:lineRule="exact"/>
        <w:jc w:val="both"/>
        <w:rPr>
          <w:rFonts w:ascii="Times New Roman" w:hAnsi="Times New Roman"/>
          <w:sz w:val="22"/>
          <w:szCs w:val="22"/>
        </w:rPr>
      </w:pPr>
    </w:p>
    <w:p w14:paraId="5F067B30"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t>Bibliographie</w:t>
      </w:r>
    </w:p>
    <w:p w14:paraId="16B0BFF9" w14:textId="77777777" w:rsidR="00B54015" w:rsidRPr="00B54015" w:rsidRDefault="00B54015" w:rsidP="00B54015">
      <w:pPr>
        <w:spacing w:line="320" w:lineRule="exact"/>
        <w:jc w:val="both"/>
        <w:rPr>
          <w:rFonts w:ascii="Times New Roman" w:eastAsia="ＭＳ Ｐ明朝" w:hAnsi="Times New Roman"/>
          <w:sz w:val="22"/>
          <w:szCs w:val="22"/>
        </w:rPr>
      </w:pPr>
      <w:r w:rsidRPr="00B54015">
        <w:rPr>
          <w:rFonts w:ascii="Times New Roman" w:eastAsia="ＭＳ Ｐ明朝" w:hAnsi="Times New Roman"/>
          <w:sz w:val="22"/>
          <w:szCs w:val="22"/>
        </w:rPr>
        <w:t xml:space="preserve">Yôko Hayashi, </w:t>
      </w:r>
      <w:r w:rsidRPr="00B54015">
        <w:rPr>
          <w:rFonts w:ascii="Times New Roman" w:eastAsia="ＭＳ Ｐ明朝" w:hAnsi="Times New Roman"/>
          <w:i/>
          <w:sz w:val="22"/>
          <w:szCs w:val="22"/>
        </w:rPr>
        <w:t>Ouvrir les oeuvres de Foujita</w:t>
      </w:r>
      <w:r w:rsidRPr="00B54015">
        <w:rPr>
          <w:rFonts w:ascii="Times New Roman" w:eastAsia="ＭＳ Ｐ明朝" w:hAnsi="Times New Roman"/>
          <w:sz w:val="22"/>
          <w:szCs w:val="22"/>
        </w:rPr>
        <w:t>, Aichi, Presses universitaires de Nagoya, 2008</w:t>
      </w:r>
    </w:p>
    <w:p w14:paraId="15C17DA4" w14:textId="77777777" w:rsidR="00B54015" w:rsidRPr="00B54015" w:rsidRDefault="00B54015" w:rsidP="00B54015">
      <w:pPr>
        <w:spacing w:line="320" w:lineRule="exact"/>
        <w:jc w:val="both"/>
        <w:rPr>
          <w:rFonts w:ascii="Times New Roman" w:eastAsia="ＭＳ Ｐ明朝" w:hAnsi="Times New Roman"/>
          <w:sz w:val="22"/>
          <w:szCs w:val="22"/>
          <w:lang w:val="fr-CA"/>
        </w:rPr>
      </w:pPr>
      <w:r w:rsidRPr="00B54015">
        <w:rPr>
          <w:rFonts w:ascii="Times New Roman" w:eastAsia="ＭＳ Ｐ明朝" w:hAnsi="Times New Roman"/>
          <w:sz w:val="22"/>
          <w:szCs w:val="22"/>
          <w:lang w:val="fr-CA"/>
        </w:rPr>
        <w:t>Y</w:t>
      </w:r>
      <w:r w:rsidRPr="00B54015">
        <w:rPr>
          <w:rFonts w:ascii="Times New Roman" w:eastAsia="ＭＳ Ｐ明朝" w:hAnsi="Times New Roman"/>
          <w:sz w:val="22"/>
          <w:szCs w:val="22"/>
        </w:rPr>
        <w:t>ô</w:t>
      </w:r>
      <w:r w:rsidRPr="00B54015">
        <w:rPr>
          <w:rFonts w:ascii="Times New Roman" w:eastAsia="ＭＳ Ｐ明朝" w:hAnsi="Times New Roman"/>
          <w:sz w:val="22"/>
          <w:szCs w:val="22"/>
          <w:lang w:val="fr-CA"/>
        </w:rPr>
        <w:t xml:space="preserve">ko Hayashi, </w:t>
      </w:r>
      <w:r w:rsidRPr="00B54015">
        <w:rPr>
          <w:rFonts w:ascii="Times New Roman" w:eastAsia="ＭＳ Ｐ明朝" w:hAnsi="Times New Roman"/>
          <w:i/>
          <w:sz w:val="22"/>
          <w:szCs w:val="22"/>
          <w:lang w:val="fr-CA"/>
        </w:rPr>
        <w:t xml:space="preserve">Léonard Foujita et ses livres illustrés, </w:t>
      </w:r>
      <w:r w:rsidRPr="00B54015">
        <w:rPr>
          <w:rFonts w:ascii="Times New Roman" w:eastAsia="ＭＳ Ｐ明朝" w:hAnsi="Times New Roman"/>
          <w:sz w:val="22"/>
          <w:szCs w:val="22"/>
          <w:lang w:val="fr-CA"/>
        </w:rPr>
        <w:t>Tokyo, Shûeisha, 2011</w:t>
      </w:r>
    </w:p>
    <w:p w14:paraId="3AFDA950" w14:textId="77777777" w:rsidR="00B54015" w:rsidRPr="00B54015" w:rsidRDefault="00B54015" w:rsidP="00B54015">
      <w:pPr>
        <w:spacing w:line="320" w:lineRule="exact"/>
        <w:jc w:val="both"/>
        <w:rPr>
          <w:rFonts w:ascii="Times New Roman" w:eastAsia="ＭＳ Ｐ明朝" w:hAnsi="Times New Roman"/>
          <w:sz w:val="22"/>
          <w:szCs w:val="22"/>
          <w:lang w:val="fr-CA"/>
        </w:rPr>
      </w:pPr>
      <w:r w:rsidRPr="00B54015">
        <w:rPr>
          <w:rFonts w:ascii="Times New Roman" w:eastAsia="ＭＳ Ｐ明朝" w:hAnsi="Times New Roman"/>
          <w:sz w:val="22"/>
          <w:szCs w:val="22"/>
          <w:lang w:val="fr-CA"/>
        </w:rPr>
        <w:t xml:space="preserve">Catalogue d'exposition, </w:t>
      </w:r>
      <w:r w:rsidRPr="00B54015">
        <w:rPr>
          <w:rFonts w:ascii="Times New Roman" w:eastAsia="ＭＳ Ｐ明朝" w:hAnsi="Times New Roman"/>
          <w:i/>
          <w:sz w:val="22"/>
          <w:szCs w:val="22"/>
          <w:lang w:val="fr-CA"/>
        </w:rPr>
        <w:t>Le monde des livres illustrés par Léonard Foujita et les artistes de l'Ecole de Paris</w:t>
      </w:r>
      <w:r w:rsidRPr="00B54015">
        <w:rPr>
          <w:rFonts w:ascii="Times New Roman" w:eastAsia="ＭＳ Ｐ明朝" w:hAnsi="Times New Roman"/>
          <w:sz w:val="22"/>
          <w:szCs w:val="22"/>
          <w:lang w:val="fr-CA"/>
        </w:rPr>
        <w:t>, Hokkaidô, Musée d'art moderne, 2012</w:t>
      </w:r>
    </w:p>
    <w:p w14:paraId="30552666" w14:textId="77777777" w:rsidR="00B54015" w:rsidRPr="00B54015" w:rsidRDefault="00B54015" w:rsidP="00B54015">
      <w:pPr>
        <w:spacing w:line="320" w:lineRule="exact"/>
        <w:jc w:val="both"/>
        <w:rPr>
          <w:rFonts w:ascii="Times New Roman" w:hAnsi="Times New Roman"/>
          <w:sz w:val="22"/>
          <w:szCs w:val="22"/>
          <w:lang w:val="fr-CA"/>
        </w:rPr>
      </w:pPr>
    </w:p>
    <w:p w14:paraId="4DAEE3B5"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496269A0" w14:textId="6F9901FA"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Actuellement professeur associée à </w:t>
      </w:r>
      <w:r w:rsidR="00867FC7">
        <w:rPr>
          <w:rFonts w:ascii="Times New Roman" w:hAnsi="Times New Roman"/>
          <w:sz w:val="22"/>
          <w:szCs w:val="22"/>
        </w:rPr>
        <w:t xml:space="preserve">la </w:t>
      </w:r>
      <w:r w:rsidRPr="00B54015">
        <w:rPr>
          <w:rFonts w:ascii="Times New Roman" w:hAnsi="Times New Roman"/>
          <w:sz w:val="22"/>
          <w:szCs w:val="22"/>
        </w:rPr>
        <w:t xml:space="preserve">Kyoto </w:t>
      </w:r>
      <w:proofErr w:type="spellStart"/>
      <w:r w:rsidRPr="00B54015">
        <w:rPr>
          <w:rFonts w:ascii="Times New Roman" w:hAnsi="Times New Roman"/>
          <w:sz w:val="22"/>
          <w:szCs w:val="22"/>
        </w:rPr>
        <w:t>University</w:t>
      </w:r>
      <w:proofErr w:type="spellEnd"/>
      <w:r w:rsidRPr="00B54015">
        <w:rPr>
          <w:rFonts w:ascii="Times New Roman" w:hAnsi="Times New Roman"/>
          <w:sz w:val="22"/>
          <w:szCs w:val="22"/>
        </w:rPr>
        <w:t xml:space="preserve"> of Art &amp; Design. Sa spécialité est l’histoire de l’art moderne, de la critique d’art et l’histoire des échanges culturels franco-japonais. Diplômée de l’université de Tokyo et docteur es lettres de l’université Paris </w:t>
      </w:r>
      <w:r w:rsidR="00C17E49">
        <w:rPr>
          <w:rFonts w:ascii="Times New Roman" w:hAnsi="Times New Roman"/>
          <w:sz w:val="22"/>
          <w:szCs w:val="22"/>
        </w:rPr>
        <w:t>I</w:t>
      </w:r>
      <w:r w:rsidRPr="00B54015">
        <w:rPr>
          <w:rFonts w:ascii="Times New Roman" w:hAnsi="Times New Roman"/>
          <w:sz w:val="22"/>
          <w:szCs w:val="22"/>
        </w:rPr>
        <w:t>. Ancienne conservatrice au Musée d’art moderne de Tokyo. A rédigé plusieurs ouvrages sur Foujita.</w:t>
      </w:r>
      <w:r w:rsidR="00C17E49">
        <w:rPr>
          <w:rFonts w:ascii="Times New Roman" w:hAnsi="Times New Roman"/>
          <w:sz w:val="22"/>
          <w:szCs w:val="22"/>
        </w:rPr>
        <w:t xml:space="preserve"> </w:t>
      </w:r>
      <w:r w:rsidRPr="00B54015">
        <w:rPr>
          <w:rFonts w:ascii="Times New Roman" w:hAnsi="Times New Roman"/>
          <w:sz w:val="22"/>
          <w:szCs w:val="22"/>
        </w:rPr>
        <w:t xml:space="preserve">Prix </w:t>
      </w:r>
      <w:proofErr w:type="spellStart"/>
      <w:r w:rsidRPr="00B54015">
        <w:rPr>
          <w:rFonts w:ascii="Times New Roman" w:hAnsi="Times New Roman"/>
          <w:sz w:val="22"/>
          <w:szCs w:val="22"/>
        </w:rPr>
        <w:t>Suntory</w:t>
      </w:r>
      <w:proofErr w:type="spellEnd"/>
      <w:r w:rsidRPr="00B54015">
        <w:rPr>
          <w:rFonts w:ascii="Times New Roman" w:hAnsi="Times New Roman"/>
          <w:sz w:val="22"/>
          <w:szCs w:val="22"/>
        </w:rPr>
        <w:t xml:space="preserve"> de la littérature et des arts et Prix Shibusawa-Claudel de la Maison franco-japonaises et autres pour </w:t>
      </w:r>
      <w:r w:rsidRPr="00B54015">
        <w:rPr>
          <w:rFonts w:ascii="Times New Roman" w:eastAsia="ＭＳ Ｐ明朝" w:hAnsi="Times New Roman"/>
          <w:i/>
          <w:sz w:val="22"/>
          <w:szCs w:val="22"/>
        </w:rPr>
        <w:t>Ouvrir les oeuvres de Foujita</w:t>
      </w:r>
      <w:r w:rsidRPr="00B54015">
        <w:rPr>
          <w:rFonts w:ascii="Times New Roman" w:eastAsia="ＭＳ Ｐ明朝" w:hAnsi="Times New Roman"/>
          <w:sz w:val="22"/>
          <w:szCs w:val="22"/>
        </w:rPr>
        <w:t xml:space="preserve"> (Presses universitaires de Nagoya, 2008).</w:t>
      </w:r>
      <w:r w:rsidRPr="00B54015">
        <w:rPr>
          <w:rFonts w:ascii="Times New Roman" w:hAnsi="Times New Roman"/>
          <w:sz w:val="22"/>
          <w:szCs w:val="22"/>
        </w:rPr>
        <w:t xml:space="preserve"> </w:t>
      </w:r>
    </w:p>
    <w:p w14:paraId="5F7AF4EB"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br w:type="page"/>
      </w:r>
    </w:p>
    <w:p w14:paraId="0B12B464"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t>Jean-Gabriel Daragnès (1886-1950) : peintre, graveur et éditeur</w:t>
      </w:r>
    </w:p>
    <w:p w14:paraId="679F0BB6" w14:textId="77777777"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b/>
          <w:sz w:val="22"/>
          <w:szCs w:val="22"/>
        </w:rPr>
        <w:t xml:space="preserve">MASE Yukie </w:t>
      </w:r>
    </w:p>
    <w:p w14:paraId="5B912579" w14:textId="77777777" w:rsidR="00B54015" w:rsidRPr="00B54015" w:rsidRDefault="00B54015" w:rsidP="00B54015">
      <w:pPr>
        <w:spacing w:line="320" w:lineRule="exact"/>
        <w:jc w:val="both"/>
        <w:rPr>
          <w:rFonts w:ascii="Times New Roman" w:hAnsi="Times New Roman"/>
          <w:sz w:val="22"/>
          <w:szCs w:val="22"/>
        </w:rPr>
      </w:pPr>
    </w:p>
    <w:p w14:paraId="6A57836C" w14:textId="77777777" w:rsidR="00B54015" w:rsidRPr="00B54015" w:rsidRDefault="00B54015" w:rsidP="007421E2">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En 1941, Jean Giraudoux publie </w:t>
      </w:r>
      <w:r w:rsidRPr="00B54015">
        <w:rPr>
          <w:rFonts w:ascii="Times New Roman" w:hAnsi="Times New Roman"/>
          <w:i/>
          <w:sz w:val="22"/>
          <w:szCs w:val="22"/>
        </w:rPr>
        <w:t>Combat avec l’image</w:t>
      </w:r>
      <w:r w:rsidRPr="00B54015">
        <w:rPr>
          <w:rFonts w:ascii="Times New Roman" w:hAnsi="Times New Roman"/>
          <w:sz w:val="22"/>
          <w:szCs w:val="22"/>
        </w:rPr>
        <w:t xml:space="preserve">, avec une illustration de Foujita, « Femme endormie », alors que le peintre a quitté la France en 1940. Auteur et illustrateur, texte et image, France « des années folles » et France occupée : en associant des éléments différents, cette oeuvre joue un rôle charnière et concentre toute l’esthétique de l’édition du producteur de ce livre, Jean-Gabriel Daragnès. </w:t>
      </w:r>
    </w:p>
    <w:p w14:paraId="3A59B8BA" w14:textId="77777777" w:rsidR="00B54015" w:rsidRPr="00B54015" w:rsidRDefault="00B54015"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 xml:space="preserve">Daragnès intègre tout d’abord le monde du livre illustré en tant que graveur. Au lieu d’évoquer une interprétation du texte parmi d’autres, ses oeuvres les mettent en relief et font preuve d’une lecture en profondeur, ainsi que de sa grande capacité technique. Doté de technique, d’esprit d’organisation et homme d’action, Daragnès produira dans son atelier à Montmartre des « oeuvres » en tant qu’éditeur, c’est-à-dire des livres illustrés, à la manière d’un réalisateur qui met au point une oeuvre théâtrale. </w:t>
      </w:r>
    </w:p>
    <w:p w14:paraId="1F108007" w14:textId="77777777" w:rsidR="00B54015" w:rsidRPr="00B54015" w:rsidRDefault="00B54015" w:rsidP="00B54015">
      <w:pPr>
        <w:spacing w:line="320" w:lineRule="exact"/>
        <w:ind w:firstLineChars="100" w:firstLine="220"/>
        <w:jc w:val="both"/>
        <w:rPr>
          <w:rFonts w:ascii="Times New Roman" w:hAnsi="Times New Roman"/>
          <w:sz w:val="22"/>
          <w:szCs w:val="22"/>
        </w:rPr>
      </w:pPr>
      <w:r w:rsidRPr="00B54015">
        <w:rPr>
          <w:rFonts w:ascii="Times New Roman" w:hAnsi="Times New Roman"/>
          <w:sz w:val="22"/>
          <w:szCs w:val="22"/>
        </w:rPr>
        <w:t>Dans cet exposé, nous montrerons comment, en s’occupant de l’édition des livres illustrés en tant que graveur et directeur d’art, Daragnès a su faire preuve de souplesse en se situant à l’intersection des relations humaines, qui ne se limitent pas au monde littéraire, mais s’étendent aussi au milieu des artistes, de l’édition et des cercles de bibliophiles. Nous examinerons cela à travers la relation entre texte et image dans ses oeuvres principales (</w:t>
      </w:r>
      <w:r w:rsidRPr="00B54015">
        <w:rPr>
          <w:rFonts w:ascii="Times New Roman" w:hAnsi="Times New Roman"/>
          <w:i/>
          <w:sz w:val="22"/>
          <w:szCs w:val="22"/>
        </w:rPr>
        <w:t>Poil de Carotte</w:t>
      </w:r>
      <w:r w:rsidRPr="00B54015">
        <w:rPr>
          <w:rFonts w:ascii="Times New Roman" w:hAnsi="Times New Roman"/>
          <w:sz w:val="22"/>
          <w:szCs w:val="22"/>
        </w:rPr>
        <w:t xml:space="preserve"> de Jules Renard, </w:t>
      </w:r>
      <w:r w:rsidRPr="00B54015">
        <w:rPr>
          <w:rFonts w:ascii="Times New Roman" w:hAnsi="Times New Roman"/>
          <w:i/>
          <w:sz w:val="22"/>
          <w:szCs w:val="22"/>
        </w:rPr>
        <w:t>Le Grand Meaulnes</w:t>
      </w:r>
      <w:r w:rsidRPr="00B54015">
        <w:rPr>
          <w:rFonts w:ascii="Times New Roman" w:hAnsi="Times New Roman"/>
          <w:sz w:val="22"/>
          <w:szCs w:val="22"/>
        </w:rPr>
        <w:t xml:space="preserve"> d’Alain Fournier, </w:t>
      </w:r>
      <w:r w:rsidRPr="00B54015">
        <w:rPr>
          <w:rFonts w:ascii="Times New Roman" w:hAnsi="Times New Roman"/>
          <w:i/>
          <w:sz w:val="22"/>
          <w:szCs w:val="22"/>
        </w:rPr>
        <w:t>Suzanne et le Pacifique</w:t>
      </w:r>
      <w:r w:rsidRPr="00B54015">
        <w:rPr>
          <w:rFonts w:ascii="Times New Roman" w:hAnsi="Times New Roman"/>
          <w:sz w:val="22"/>
          <w:szCs w:val="22"/>
        </w:rPr>
        <w:t xml:space="preserve"> de Jean Giraudoux, etc.)</w:t>
      </w:r>
      <w:r w:rsidR="00C17E49">
        <w:rPr>
          <w:rFonts w:ascii="Times New Roman" w:hAnsi="Times New Roman"/>
          <w:sz w:val="22"/>
          <w:szCs w:val="22"/>
        </w:rPr>
        <w:t>.</w:t>
      </w:r>
      <w:r w:rsidRPr="00B54015">
        <w:rPr>
          <w:rFonts w:ascii="Times New Roman" w:hAnsi="Times New Roman"/>
          <w:sz w:val="22"/>
          <w:szCs w:val="22"/>
        </w:rPr>
        <w:t xml:space="preserve"> En se libérant des idées toutes faites, Daragnès remit en question les techniques et les mises en page existantes, ainsi que les interprétations du texte, ce qui permit le renouveau des livres illustrés. Il fut tout à la fois un artiste-éditeur et la personne-clé rendant possible toutes sortes de rencontres. </w:t>
      </w:r>
    </w:p>
    <w:p w14:paraId="570C58D2" w14:textId="77777777" w:rsidR="00B54015" w:rsidRPr="00B54015" w:rsidRDefault="00B54015" w:rsidP="00B54015">
      <w:pPr>
        <w:spacing w:line="320" w:lineRule="exact"/>
        <w:jc w:val="both"/>
        <w:rPr>
          <w:rFonts w:ascii="Times New Roman" w:hAnsi="Times New Roman"/>
          <w:sz w:val="22"/>
          <w:szCs w:val="22"/>
        </w:rPr>
      </w:pPr>
    </w:p>
    <w:p w14:paraId="0FB846AF"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t>Bibliographie</w:t>
      </w:r>
    </w:p>
    <w:p w14:paraId="2B7C6B9C" w14:textId="77777777"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sz w:val="22"/>
          <w:szCs w:val="22"/>
        </w:rPr>
        <w:t>Mase Yukie</w:t>
      </w:r>
      <w:r w:rsidRPr="00B54015">
        <w:rPr>
          <w:rFonts w:ascii="Times New Roman" w:hAnsi="Times New Roman"/>
          <w:i/>
          <w:sz w:val="22"/>
          <w:szCs w:val="22"/>
        </w:rPr>
        <w:t>, Formes narratives dans la dramaturgie de Jean Giraudoux</w:t>
      </w:r>
      <w:r w:rsidRPr="00B54015">
        <w:rPr>
          <w:rFonts w:ascii="Times New Roman" w:hAnsi="Times New Roman"/>
          <w:sz w:val="22"/>
          <w:szCs w:val="22"/>
        </w:rPr>
        <w:t>, Presses universita</w:t>
      </w:r>
      <w:r w:rsidR="00C17E49">
        <w:rPr>
          <w:rFonts w:ascii="Times New Roman" w:hAnsi="Times New Roman"/>
          <w:sz w:val="22"/>
          <w:szCs w:val="22"/>
        </w:rPr>
        <w:t>i</w:t>
      </w:r>
      <w:r w:rsidRPr="00B54015">
        <w:rPr>
          <w:rFonts w:ascii="Times New Roman" w:hAnsi="Times New Roman"/>
          <w:sz w:val="22"/>
          <w:szCs w:val="22"/>
        </w:rPr>
        <w:t>res de Waseda, 2010</w:t>
      </w:r>
    </w:p>
    <w:p w14:paraId="5F3916D0" w14:textId="77777777"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Mase Yukie, « Sur la « rencontre » méconnue de Foujita et de Giraudoux », </w:t>
      </w:r>
      <w:r w:rsidRPr="00B54015">
        <w:rPr>
          <w:rFonts w:ascii="Times New Roman" w:hAnsi="Times New Roman"/>
          <w:i/>
          <w:sz w:val="22"/>
          <w:szCs w:val="22"/>
        </w:rPr>
        <w:t>Hikaku bungaku nenshi (Revue de littérature comparée)</w:t>
      </w:r>
      <w:r w:rsidRPr="00B54015">
        <w:rPr>
          <w:rFonts w:ascii="Times New Roman" w:hAnsi="Times New Roman"/>
          <w:sz w:val="22"/>
          <w:szCs w:val="22"/>
        </w:rPr>
        <w:t xml:space="preserve">, Section </w:t>
      </w:r>
      <w:r w:rsidR="00C17E49">
        <w:rPr>
          <w:rFonts w:ascii="Times New Roman" w:hAnsi="Times New Roman"/>
          <w:sz w:val="22"/>
          <w:szCs w:val="22"/>
        </w:rPr>
        <w:t xml:space="preserve">de </w:t>
      </w:r>
      <w:r w:rsidRPr="00B54015">
        <w:rPr>
          <w:rFonts w:ascii="Times New Roman" w:hAnsi="Times New Roman"/>
          <w:sz w:val="22"/>
          <w:szCs w:val="22"/>
        </w:rPr>
        <w:t>recherches sur les littératures comparées de l’université de Waseda, 2011</w:t>
      </w:r>
    </w:p>
    <w:p w14:paraId="2C2D0CEB" w14:textId="77777777"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sz w:val="22"/>
          <w:szCs w:val="22"/>
        </w:rPr>
        <w:t xml:space="preserve">Musée de Sens, </w:t>
      </w:r>
      <w:r w:rsidRPr="00B54015">
        <w:rPr>
          <w:rFonts w:ascii="Times New Roman" w:hAnsi="Times New Roman"/>
          <w:i/>
          <w:sz w:val="22"/>
          <w:szCs w:val="22"/>
        </w:rPr>
        <w:t>Jean-Gabriel Daragnès 1886-1950 : un artiste du livre à Montmartre</w:t>
      </w:r>
      <w:r w:rsidRPr="00B54015">
        <w:rPr>
          <w:rFonts w:ascii="Times New Roman" w:hAnsi="Times New Roman"/>
          <w:sz w:val="22"/>
          <w:szCs w:val="22"/>
        </w:rPr>
        <w:t>, Editions du Linteau, 2007</w:t>
      </w:r>
    </w:p>
    <w:p w14:paraId="575567AA" w14:textId="77777777" w:rsidR="00B54015" w:rsidRPr="00B54015" w:rsidRDefault="00B54015" w:rsidP="00B54015">
      <w:pPr>
        <w:spacing w:line="320" w:lineRule="exact"/>
        <w:jc w:val="both"/>
        <w:rPr>
          <w:rFonts w:ascii="Times New Roman" w:hAnsi="Times New Roman"/>
          <w:sz w:val="22"/>
          <w:szCs w:val="22"/>
        </w:rPr>
      </w:pPr>
    </w:p>
    <w:p w14:paraId="0276CBDD" w14:textId="77777777" w:rsidR="00B54015" w:rsidRPr="00B54015" w:rsidRDefault="00B54015" w:rsidP="00B54015">
      <w:pPr>
        <w:spacing w:line="320" w:lineRule="exact"/>
        <w:jc w:val="both"/>
        <w:rPr>
          <w:rFonts w:ascii="Times New Roman" w:hAnsi="Times New Roman"/>
          <w:b/>
          <w:sz w:val="22"/>
          <w:szCs w:val="22"/>
        </w:rPr>
      </w:pPr>
      <w:r w:rsidRPr="00B54015">
        <w:rPr>
          <w:rFonts w:ascii="Times New Roman" w:hAnsi="Times New Roman"/>
          <w:b/>
          <w:sz w:val="22"/>
          <w:szCs w:val="22"/>
        </w:rPr>
        <w:t>Profil</w:t>
      </w:r>
    </w:p>
    <w:p w14:paraId="22778E5E" w14:textId="77777777" w:rsidR="00B54015" w:rsidRPr="00B54015" w:rsidRDefault="00B54015" w:rsidP="00B54015">
      <w:pPr>
        <w:spacing w:line="320" w:lineRule="exact"/>
        <w:jc w:val="both"/>
        <w:rPr>
          <w:rFonts w:ascii="Times New Roman" w:hAnsi="Times New Roman"/>
          <w:sz w:val="22"/>
          <w:szCs w:val="22"/>
        </w:rPr>
      </w:pPr>
      <w:r w:rsidRPr="00B54015">
        <w:rPr>
          <w:rFonts w:ascii="Times New Roman" w:hAnsi="Times New Roman"/>
          <w:sz w:val="22"/>
          <w:szCs w:val="22"/>
        </w:rPr>
        <w:t>Professeur</w:t>
      </w:r>
      <w:r w:rsidR="00C17E49">
        <w:rPr>
          <w:rFonts w:ascii="Times New Roman" w:hAnsi="Times New Roman"/>
          <w:sz w:val="22"/>
          <w:szCs w:val="22"/>
        </w:rPr>
        <w:t>e</w:t>
      </w:r>
      <w:r w:rsidRPr="00B54015">
        <w:rPr>
          <w:rFonts w:ascii="Times New Roman" w:hAnsi="Times New Roman"/>
          <w:sz w:val="22"/>
          <w:szCs w:val="22"/>
        </w:rPr>
        <w:t xml:space="preserve"> associée à l’université Miyagi Gakuin. Spécialisée en histoire du théâtre français de l’entre-deux-guerres et en FLE. Diplômée de la faculté des lettres de l’université Waseda et du 3</w:t>
      </w:r>
      <w:r w:rsidR="007421E2">
        <w:rPr>
          <w:rFonts w:ascii="Times New Roman" w:hAnsi="Times New Roman"/>
          <w:sz w:val="22"/>
          <w:szCs w:val="22"/>
        </w:rPr>
        <w:t>e cycle de l’université de Lyon</w:t>
      </w:r>
      <w:r w:rsidR="007421E2">
        <w:rPr>
          <w:rFonts w:ascii="Times New Roman" w:hAnsi="Times New Roman" w:hint="eastAsia"/>
          <w:sz w:val="22"/>
          <w:szCs w:val="22"/>
          <w:lang w:eastAsia="ja-JP"/>
        </w:rPr>
        <w:t xml:space="preserve"> II</w:t>
      </w:r>
      <w:r w:rsidRPr="00B54015">
        <w:rPr>
          <w:rFonts w:ascii="Times New Roman" w:hAnsi="Times New Roman"/>
          <w:sz w:val="22"/>
          <w:szCs w:val="22"/>
        </w:rPr>
        <w:t xml:space="preserve">. Assistante au musée du théâtre Tsubouchi Shôyô de l’université Waseda, puis lectrice de la section théâtre et audiovisuel de la même université, avant d’occuper la présente position. A publié notamment </w:t>
      </w:r>
      <w:r w:rsidRPr="00B54015">
        <w:rPr>
          <w:rFonts w:ascii="Times New Roman" w:hAnsi="Times New Roman"/>
          <w:i/>
          <w:sz w:val="22"/>
          <w:szCs w:val="22"/>
        </w:rPr>
        <w:t>Formes narratives dans la dramaturgie de Jean Giraudoux</w:t>
      </w:r>
      <w:r w:rsidRPr="00B54015">
        <w:rPr>
          <w:rFonts w:ascii="Times New Roman" w:hAnsi="Times New Roman"/>
          <w:sz w:val="22"/>
          <w:szCs w:val="22"/>
        </w:rPr>
        <w:t xml:space="preserve"> (Presses universitaires de Waseda, 2010) et un article, sur « L’influence de Jean Giraudoux sur Terayama Shûji : essai sur le scénario pour la radio, la grande tenue de cérémonie (Daireifuku) </w:t>
      </w:r>
      <w:r w:rsidRPr="001E1C6B">
        <w:rPr>
          <w:rFonts w:ascii="Times New Roman" w:hAnsi="Times New Roman"/>
          <w:sz w:val="22"/>
          <w:szCs w:val="22"/>
        </w:rPr>
        <w:t>»</w:t>
      </w:r>
      <w:r w:rsidRPr="00B54015">
        <w:rPr>
          <w:rFonts w:ascii="Times New Roman" w:hAnsi="Times New Roman"/>
          <w:i/>
          <w:sz w:val="22"/>
          <w:szCs w:val="22"/>
        </w:rPr>
        <w:t xml:space="preserve">, Nihon engekikai Engekigaku ronshû kiyô </w:t>
      </w:r>
      <w:r w:rsidRPr="00B54015">
        <w:rPr>
          <w:rFonts w:ascii="Times New Roman" w:hAnsi="Times New Roman"/>
          <w:sz w:val="22"/>
          <w:szCs w:val="22"/>
        </w:rPr>
        <w:t>(</w:t>
      </w:r>
      <w:r w:rsidRPr="00B54015">
        <w:rPr>
          <w:rFonts w:ascii="Times New Roman" w:hAnsi="Times New Roman"/>
          <w:i/>
          <w:sz w:val="22"/>
          <w:szCs w:val="22"/>
        </w:rPr>
        <w:t>Revue essais sur le théâtre de la société japonaise de théâtre</w:t>
      </w:r>
      <w:r w:rsidRPr="00B54015">
        <w:rPr>
          <w:rFonts w:ascii="Times New Roman" w:hAnsi="Times New Roman"/>
          <w:sz w:val="22"/>
          <w:szCs w:val="22"/>
        </w:rPr>
        <w:t xml:space="preserve">), n° 54, 2012. </w:t>
      </w:r>
    </w:p>
    <w:p w14:paraId="5F9D5EA7" w14:textId="77777777" w:rsidR="000C3DA7" w:rsidRPr="00B54015" w:rsidRDefault="000C3DA7" w:rsidP="00B54015">
      <w:pPr>
        <w:spacing w:line="320" w:lineRule="exact"/>
        <w:jc w:val="both"/>
        <w:rPr>
          <w:rFonts w:ascii="Times New Roman" w:hAnsi="Times New Roman"/>
          <w:b/>
          <w:sz w:val="22"/>
          <w:szCs w:val="22"/>
        </w:rPr>
      </w:pPr>
    </w:p>
    <w:sectPr w:rsidR="000C3DA7" w:rsidRPr="00B54015" w:rsidSect="009048C9">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9C5E" w14:textId="77777777" w:rsidR="00B9335D" w:rsidRDefault="00B9335D" w:rsidP="00B57F15">
      <w:r>
        <w:separator/>
      </w:r>
    </w:p>
  </w:endnote>
  <w:endnote w:type="continuationSeparator" w:id="0">
    <w:p w14:paraId="030AAD5C" w14:textId="77777777" w:rsidR="00B9335D" w:rsidRDefault="00B9335D" w:rsidP="00B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5077B" w14:textId="77777777" w:rsidR="00B9335D" w:rsidRDefault="00B9335D" w:rsidP="00B57F15">
      <w:r>
        <w:separator/>
      </w:r>
    </w:p>
  </w:footnote>
  <w:footnote w:type="continuationSeparator" w:id="0">
    <w:p w14:paraId="0B660387" w14:textId="77777777" w:rsidR="00B9335D" w:rsidRDefault="00B9335D" w:rsidP="00B5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CEC"/>
    <w:rsid w:val="0000782A"/>
    <w:rsid w:val="000C3DA7"/>
    <w:rsid w:val="0017716D"/>
    <w:rsid w:val="001D3CEC"/>
    <w:rsid w:val="001E1C6B"/>
    <w:rsid w:val="002A1893"/>
    <w:rsid w:val="00473C1F"/>
    <w:rsid w:val="007421E2"/>
    <w:rsid w:val="007A5102"/>
    <w:rsid w:val="00867FC7"/>
    <w:rsid w:val="008B49BD"/>
    <w:rsid w:val="009048C9"/>
    <w:rsid w:val="00AC79B2"/>
    <w:rsid w:val="00B54015"/>
    <w:rsid w:val="00B57F15"/>
    <w:rsid w:val="00B9335D"/>
    <w:rsid w:val="00C17E49"/>
    <w:rsid w:val="00C51745"/>
    <w:rsid w:val="00C702A8"/>
    <w:rsid w:val="00CA1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7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EC"/>
    <w:rPr>
      <w:rFonts w:ascii="Cambria" w:eastAsia="ＭＳ 明朝" w:hAnsi="Cambria" w:cs="Times New Roman"/>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3CEC"/>
    <w:rPr>
      <w:color w:val="0000FF"/>
      <w:u w:val="single"/>
    </w:rPr>
  </w:style>
  <w:style w:type="paragraph" w:styleId="a4">
    <w:name w:val="header"/>
    <w:basedOn w:val="a"/>
    <w:link w:val="a5"/>
    <w:uiPriority w:val="99"/>
    <w:unhideWhenUsed/>
    <w:rsid w:val="00B57F15"/>
    <w:pPr>
      <w:tabs>
        <w:tab w:val="center" w:pos="4252"/>
        <w:tab w:val="right" w:pos="8504"/>
      </w:tabs>
      <w:snapToGrid w:val="0"/>
    </w:pPr>
  </w:style>
  <w:style w:type="character" w:customStyle="1" w:styleId="a5">
    <w:name w:val="ヘッダー (文字)"/>
    <w:basedOn w:val="a0"/>
    <w:link w:val="a4"/>
    <w:uiPriority w:val="99"/>
    <w:rsid w:val="00B57F15"/>
    <w:rPr>
      <w:rFonts w:ascii="Cambria" w:eastAsia="ＭＳ 明朝" w:hAnsi="Cambria" w:cs="Times New Roman"/>
      <w:kern w:val="0"/>
      <w:sz w:val="24"/>
      <w:szCs w:val="24"/>
      <w:lang w:val="fr-FR" w:eastAsia="en-US"/>
    </w:rPr>
  </w:style>
  <w:style w:type="paragraph" w:styleId="a6">
    <w:name w:val="footer"/>
    <w:basedOn w:val="a"/>
    <w:link w:val="a7"/>
    <w:uiPriority w:val="99"/>
    <w:unhideWhenUsed/>
    <w:rsid w:val="00B57F15"/>
    <w:pPr>
      <w:tabs>
        <w:tab w:val="center" w:pos="4252"/>
        <w:tab w:val="right" w:pos="8504"/>
      </w:tabs>
      <w:snapToGrid w:val="0"/>
    </w:pPr>
  </w:style>
  <w:style w:type="character" w:customStyle="1" w:styleId="a7">
    <w:name w:val="フッター (文字)"/>
    <w:basedOn w:val="a0"/>
    <w:link w:val="a6"/>
    <w:uiPriority w:val="99"/>
    <w:rsid w:val="00B57F15"/>
    <w:rPr>
      <w:rFonts w:ascii="Cambria" w:eastAsia="ＭＳ 明朝" w:hAnsi="Cambria" w:cs="Times New Roman"/>
      <w:kern w:val="0"/>
      <w:sz w:val="24"/>
      <w:szCs w:val="24"/>
      <w:lang w:val="fr-FR" w:eastAsia="en-US"/>
    </w:rPr>
  </w:style>
  <w:style w:type="paragraph" w:styleId="a8">
    <w:name w:val="Balloon Text"/>
    <w:basedOn w:val="a"/>
    <w:link w:val="a9"/>
    <w:uiPriority w:val="99"/>
    <w:semiHidden/>
    <w:unhideWhenUsed/>
    <w:rsid w:val="002A1893"/>
    <w:rPr>
      <w:rFonts w:ascii="Lucida Grande" w:hAnsi="Lucida Grande"/>
      <w:sz w:val="18"/>
      <w:szCs w:val="18"/>
    </w:rPr>
  </w:style>
  <w:style w:type="character" w:customStyle="1" w:styleId="a9">
    <w:name w:val="吹き出し (文字)"/>
    <w:basedOn w:val="a0"/>
    <w:link w:val="a8"/>
    <w:uiPriority w:val="99"/>
    <w:semiHidden/>
    <w:rsid w:val="002A1893"/>
    <w:rPr>
      <w:rFonts w:ascii="Lucida Grande" w:eastAsia="ＭＳ 明朝" w:hAnsi="Lucida Grande" w:cs="Times New Roman"/>
      <w:kern w:val="0"/>
      <w:sz w:val="18"/>
      <w:szCs w:val="18"/>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EC"/>
    <w:rPr>
      <w:rFonts w:ascii="Cambria" w:eastAsia="ＭＳ 明朝" w:hAnsi="Cambria" w:cs="Times New Roman"/>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3CEC"/>
    <w:rPr>
      <w:color w:val="0000FF"/>
      <w:u w:val="single"/>
    </w:rPr>
  </w:style>
  <w:style w:type="paragraph" w:styleId="a4">
    <w:name w:val="header"/>
    <w:basedOn w:val="a"/>
    <w:link w:val="a5"/>
    <w:uiPriority w:val="99"/>
    <w:unhideWhenUsed/>
    <w:rsid w:val="00B57F15"/>
    <w:pPr>
      <w:tabs>
        <w:tab w:val="center" w:pos="4252"/>
        <w:tab w:val="right" w:pos="8504"/>
      </w:tabs>
      <w:snapToGrid w:val="0"/>
    </w:pPr>
  </w:style>
  <w:style w:type="character" w:customStyle="1" w:styleId="a5">
    <w:name w:val="ヘッダー (文字)"/>
    <w:basedOn w:val="a0"/>
    <w:link w:val="a4"/>
    <w:uiPriority w:val="99"/>
    <w:rsid w:val="00B57F15"/>
    <w:rPr>
      <w:rFonts w:ascii="Cambria" w:eastAsia="ＭＳ 明朝" w:hAnsi="Cambria" w:cs="Times New Roman"/>
      <w:kern w:val="0"/>
      <w:sz w:val="24"/>
      <w:szCs w:val="24"/>
      <w:lang w:val="fr-FR" w:eastAsia="en-US"/>
    </w:rPr>
  </w:style>
  <w:style w:type="paragraph" w:styleId="a6">
    <w:name w:val="footer"/>
    <w:basedOn w:val="a"/>
    <w:link w:val="a7"/>
    <w:uiPriority w:val="99"/>
    <w:unhideWhenUsed/>
    <w:rsid w:val="00B57F15"/>
    <w:pPr>
      <w:tabs>
        <w:tab w:val="center" w:pos="4252"/>
        <w:tab w:val="right" w:pos="8504"/>
      </w:tabs>
      <w:snapToGrid w:val="0"/>
    </w:pPr>
  </w:style>
  <w:style w:type="character" w:customStyle="1" w:styleId="a7">
    <w:name w:val="フッター (文字)"/>
    <w:basedOn w:val="a0"/>
    <w:link w:val="a6"/>
    <w:uiPriority w:val="99"/>
    <w:rsid w:val="00B57F15"/>
    <w:rPr>
      <w:rFonts w:ascii="Cambria" w:eastAsia="ＭＳ 明朝" w:hAnsi="Cambria" w:cs="Times New Roman"/>
      <w:kern w:val="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l.ndl.go.jp/view/download/digidepo_3050795_po_geppo1108.pdf?contentNo=1" TargetMode="External"/><Relationship Id="rId8" Type="http://schemas.openxmlformats.org/officeDocument/2006/relationships/hyperlink" Target="http://atlantic2.gssc.nihon-u.ac.jp/kiyou/pdf14/14-013-019-Otsuka.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3196</Words>
  <Characters>18221</Characters>
  <Application>Microsoft Macintosh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dc:creator>
  <cp:lastModifiedBy>bf-mfj-n</cp:lastModifiedBy>
  <cp:revision>8</cp:revision>
  <dcterms:created xsi:type="dcterms:W3CDTF">2013-09-13T10:49:00Z</dcterms:created>
  <dcterms:modified xsi:type="dcterms:W3CDTF">2013-09-17T09:03:00Z</dcterms:modified>
</cp:coreProperties>
</file>